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50C4D">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28"/>
          <w:szCs w:val="28"/>
          <w:lang w:val="en-US" w:eastAsia="zh-CN"/>
        </w:rPr>
      </w:pPr>
      <w:bookmarkStart w:id="0" w:name="_Toc31450"/>
      <w:bookmarkStart w:id="583" w:name="_GoBack"/>
      <w:bookmarkEnd w:id="583"/>
      <w:r>
        <w:rPr>
          <w:rFonts w:hint="eastAsia" w:ascii="宋体" w:hAnsi="宋体" w:eastAsia="宋体" w:cs="宋体"/>
          <w:b/>
          <w:bCs/>
          <w:sz w:val="28"/>
          <w:szCs w:val="28"/>
          <w:lang w:val="en-US" w:eastAsia="zh-CN"/>
        </w:rPr>
        <w:t>评价人员及现场照片</w:t>
      </w:r>
    </w:p>
    <w:tbl>
      <w:tblPr>
        <w:tblStyle w:val="16"/>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7"/>
        <w:gridCol w:w="4643"/>
      </w:tblGrid>
      <w:tr w14:paraId="213D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atLeast"/>
          <w:jc w:val="center"/>
        </w:trPr>
        <w:tc>
          <w:tcPr>
            <w:tcW w:w="4517" w:type="dxa"/>
            <w:noWrap w:val="0"/>
            <w:vAlign w:val="top"/>
          </w:tcPr>
          <w:p w14:paraId="2EA75427">
            <w:pPr>
              <w:spacing w:line="360" w:lineRule="auto"/>
              <w:rPr>
                <w:rFonts w:hint="eastAsia" w:ascii="宋体" w:hAnsi="宋体" w:eastAsia="宋体" w:cs="宋体"/>
                <w:b/>
                <w:bCs/>
                <w:szCs w:val="21"/>
                <w:lang w:eastAsia="zh-CN"/>
              </w:rPr>
            </w:pPr>
            <w:r>
              <w:rPr>
                <w:rFonts w:hint="eastAsia" w:ascii="宋体" w:hAnsi="宋体" w:eastAsia="宋体" w:cs="宋体"/>
                <w:b/>
                <w:bCs/>
                <w:szCs w:val="21"/>
                <w:lang w:eastAsia="zh-CN"/>
              </w:rPr>
              <w:drawing>
                <wp:inline distT="0" distB="0" distL="114300" distR="114300">
                  <wp:extent cx="2701925" cy="2207260"/>
                  <wp:effectExtent l="0" t="0" r="10795" b="2540"/>
                  <wp:docPr id="6" name="图片 6" descr="2c9e65c614d62f281a6b620db48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9e65c614d62f281a6b620db4807ab"/>
                          <pic:cNvPicPr>
                            <a:picLocks noChangeAspect="1"/>
                          </pic:cNvPicPr>
                        </pic:nvPicPr>
                        <pic:blipFill>
                          <a:blip r:embed="rId12"/>
                          <a:stretch>
                            <a:fillRect/>
                          </a:stretch>
                        </pic:blipFill>
                        <pic:spPr>
                          <a:xfrm>
                            <a:off x="0" y="0"/>
                            <a:ext cx="2701925" cy="2207260"/>
                          </a:xfrm>
                          <a:prstGeom prst="rect">
                            <a:avLst/>
                          </a:prstGeom>
                        </pic:spPr>
                      </pic:pic>
                    </a:graphicData>
                  </a:graphic>
                </wp:inline>
              </w:drawing>
            </w:r>
          </w:p>
        </w:tc>
        <w:tc>
          <w:tcPr>
            <w:tcW w:w="4643" w:type="dxa"/>
            <w:noWrap w:val="0"/>
            <w:vAlign w:val="top"/>
          </w:tcPr>
          <w:p w14:paraId="40595D15">
            <w:pPr>
              <w:spacing w:line="360" w:lineRule="auto"/>
              <w:rPr>
                <w:rFonts w:hint="eastAsia" w:ascii="宋体" w:hAnsi="宋体" w:eastAsia="宋体" w:cs="宋体"/>
                <w:b/>
                <w:bCs/>
                <w:szCs w:val="21"/>
                <w:lang w:eastAsia="zh-CN"/>
              </w:rPr>
            </w:pPr>
            <w:r>
              <w:rPr>
                <w:rFonts w:hint="eastAsia" w:ascii="宋体" w:hAnsi="宋体" w:eastAsia="宋体" w:cs="宋体"/>
                <w:b/>
                <w:bCs/>
                <w:szCs w:val="21"/>
                <w:lang w:eastAsia="zh-CN"/>
              </w:rPr>
              <w:drawing>
                <wp:inline distT="0" distB="0" distL="114300" distR="114300">
                  <wp:extent cx="2752725" cy="2296795"/>
                  <wp:effectExtent l="0" t="0" r="5715" b="4445"/>
                  <wp:docPr id="8" name="图片 8" descr="1e22a07548860ce7c177b61b9fd4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22a07548860ce7c177b61b9fd47a3"/>
                          <pic:cNvPicPr>
                            <a:picLocks noChangeAspect="1"/>
                          </pic:cNvPicPr>
                        </pic:nvPicPr>
                        <pic:blipFill>
                          <a:blip r:embed="rId13"/>
                          <a:stretch>
                            <a:fillRect/>
                          </a:stretch>
                        </pic:blipFill>
                        <pic:spPr>
                          <a:xfrm>
                            <a:off x="0" y="0"/>
                            <a:ext cx="2752725" cy="2296795"/>
                          </a:xfrm>
                          <a:prstGeom prst="rect">
                            <a:avLst/>
                          </a:prstGeom>
                        </pic:spPr>
                      </pic:pic>
                    </a:graphicData>
                  </a:graphic>
                </wp:inline>
              </w:drawing>
            </w:r>
          </w:p>
        </w:tc>
      </w:tr>
      <w:tr w14:paraId="0FE9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356DB4BE">
            <w:pPr>
              <w:spacing w:line="400" w:lineRule="exact"/>
              <w:jc w:val="center"/>
              <w:rPr>
                <w:rFonts w:hint="eastAsia" w:ascii="宋体" w:hAnsi="宋体" w:cs="宋体"/>
                <w:b/>
                <w:bCs/>
                <w:color w:val="000000"/>
                <w:szCs w:val="21"/>
              </w:rPr>
            </w:pPr>
            <w:r>
              <w:rPr>
                <w:rFonts w:hint="eastAsia" w:ascii="宋体" w:hAnsi="宋体" w:cs="宋体"/>
                <w:b/>
                <w:bCs/>
                <w:color w:val="000000"/>
                <w:kern w:val="0"/>
                <w:szCs w:val="21"/>
              </w:rPr>
              <w:t>评价人员现场照片</w:t>
            </w:r>
            <w:r>
              <w:rPr>
                <w:rFonts w:hint="eastAsia" w:ascii="宋体" w:hAnsi="宋体" w:cs="宋体"/>
                <w:b/>
                <w:bCs/>
                <w:color w:val="000000"/>
                <w:kern w:val="0"/>
                <w:szCs w:val="21"/>
                <w:lang w:eastAsia="zh-CN"/>
              </w:rPr>
              <w:t>（</w:t>
            </w:r>
            <w:r>
              <w:rPr>
                <w:rFonts w:hint="eastAsia" w:ascii="宋体" w:hAnsi="宋体" w:cs="宋体"/>
                <w:b/>
                <w:bCs/>
                <w:color w:val="000000"/>
                <w:kern w:val="0"/>
                <w:szCs w:val="21"/>
                <w:lang w:val="en-US" w:eastAsia="zh-CN"/>
              </w:rPr>
              <w:t>左边李毅雄，右边周忠菊）</w:t>
            </w:r>
          </w:p>
        </w:tc>
        <w:tc>
          <w:tcPr>
            <w:tcW w:w="4643" w:type="dxa"/>
            <w:noWrap w:val="0"/>
            <w:vAlign w:val="top"/>
          </w:tcPr>
          <w:p w14:paraId="2C37EC3B">
            <w:pPr>
              <w:spacing w:line="400" w:lineRule="exact"/>
              <w:jc w:val="center"/>
              <w:rPr>
                <w:rFonts w:hint="default" w:ascii="宋体" w:hAnsi="宋体" w:eastAsia="宋体" w:cs="宋体"/>
                <w:b/>
                <w:bCs/>
                <w:color w:val="000000"/>
                <w:szCs w:val="21"/>
                <w:lang w:val="en-US" w:eastAsia="zh-CN"/>
              </w:rPr>
            </w:pPr>
            <w:r>
              <w:rPr>
                <w:rFonts w:hint="eastAsia" w:ascii="宋体" w:hAnsi="宋体" w:cs="宋体"/>
                <w:b/>
                <w:bCs/>
                <w:color w:val="000000"/>
                <w:szCs w:val="21"/>
                <w:lang w:val="en-US" w:eastAsia="zh-CN"/>
              </w:rPr>
              <w:t>加油站全景</w:t>
            </w:r>
          </w:p>
        </w:tc>
      </w:tr>
      <w:tr w14:paraId="316F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jc w:val="center"/>
        </w:trPr>
        <w:tc>
          <w:tcPr>
            <w:tcW w:w="4517" w:type="dxa"/>
            <w:noWrap w:val="0"/>
            <w:vAlign w:val="top"/>
          </w:tcPr>
          <w:p w14:paraId="20EB26C2">
            <w:pPr>
              <w:spacing w:line="240" w:lineRule="auto"/>
              <w:jc w:val="center"/>
              <w:rPr>
                <w:rFonts w:hint="eastAsia" w:ascii="宋体" w:hAnsi="宋体" w:eastAsia="宋体" w:cs="宋体"/>
                <w:b/>
                <w:bCs/>
                <w:color w:val="000000"/>
                <w:kern w:val="0"/>
                <w:szCs w:val="21"/>
                <w:lang w:eastAsia="zh-CN"/>
              </w:rPr>
            </w:pPr>
            <w:r>
              <w:rPr>
                <w:rFonts w:hint="eastAsia" w:ascii="宋体" w:hAnsi="宋体" w:eastAsia="宋体" w:cs="宋体"/>
                <w:b/>
                <w:bCs/>
                <w:color w:val="000000"/>
                <w:kern w:val="0"/>
                <w:szCs w:val="21"/>
                <w:lang w:eastAsia="zh-CN"/>
              </w:rPr>
              <w:drawing>
                <wp:inline distT="0" distB="0" distL="114300" distR="114300">
                  <wp:extent cx="2705100" cy="2028825"/>
                  <wp:effectExtent l="0" t="0" r="7620" b="13335"/>
                  <wp:docPr id="12" name="图片 12" descr="02cd5a41e5b7c1a463443c42c91a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cd5a41e5b7c1a463443c42c91a3da"/>
                          <pic:cNvPicPr>
                            <a:picLocks noChangeAspect="1"/>
                          </pic:cNvPicPr>
                        </pic:nvPicPr>
                        <pic:blipFill>
                          <a:blip r:embed="rId14"/>
                          <a:stretch>
                            <a:fillRect/>
                          </a:stretch>
                        </pic:blipFill>
                        <pic:spPr>
                          <a:xfrm>
                            <a:off x="0" y="0"/>
                            <a:ext cx="2705100" cy="2028825"/>
                          </a:xfrm>
                          <a:prstGeom prst="rect">
                            <a:avLst/>
                          </a:prstGeom>
                        </pic:spPr>
                      </pic:pic>
                    </a:graphicData>
                  </a:graphic>
                </wp:inline>
              </w:drawing>
            </w:r>
          </w:p>
        </w:tc>
        <w:tc>
          <w:tcPr>
            <w:tcW w:w="4643" w:type="dxa"/>
            <w:noWrap w:val="0"/>
            <w:vAlign w:val="top"/>
          </w:tcPr>
          <w:p w14:paraId="412A6D42">
            <w:pPr>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drawing>
                <wp:inline distT="0" distB="0" distL="114300" distR="114300">
                  <wp:extent cx="2809240" cy="2106930"/>
                  <wp:effectExtent l="0" t="0" r="10160" b="11430"/>
                  <wp:docPr id="11" name="图片 11" descr="e6ab02ddcd22962818837485d253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6ab02ddcd22962818837485d2534bf"/>
                          <pic:cNvPicPr>
                            <a:picLocks noChangeAspect="1"/>
                          </pic:cNvPicPr>
                        </pic:nvPicPr>
                        <pic:blipFill>
                          <a:blip r:embed="rId15"/>
                          <a:stretch>
                            <a:fillRect/>
                          </a:stretch>
                        </pic:blipFill>
                        <pic:spPr>
                          <a:xfrm>
                            <a:off x="0" y="0"/>
                            <a:ext cx="2809240" cy="2106930"/>
                          </a:xfrm>
                          <a:prstGeom prst="rect">
                            <a:avLst/>
                          </a:prstGeom>
                        </pic:spPr>
                      </pic:pic>
                    </a:graphicData>
                  </a:graphic>
                </wp:inline>
              </w:drawing>
            </w:r>
          </w:p>
        </w:tc>
      </w:tr>
      <w:tr w14:paraId="12D0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0941A8A0">
            <w:pPr>
              <w:spacing w:line="400" w:lineRule="exact"/>
              <w:jc w:val="center"/>
              <w:rPr>
                <w:rFonts w:hint="default"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加油机和加油岛</w:t>
            </w:r>
          </w:p>
        </w:tc>
        <w:tc>
          <w:tcPr>
            <w:tcW w:w="4643" w:type="dxa"/>
            <w:noWrap w:val="0"/>
            <w:vAlign w:val="top"/>
          </w:tcPr>
          <w:p w14:paraId="165A7F31">
            <w:pPr>
              <w:spacing w:line="400" w:lineRule="exact"/>
              <w:jc w:val="center"/>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油罐区</w:t>
            </w:r>
          </w:p>
        </w:tc>
      </w:tr>
      <w:tr w14:paraId="32A1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4517" w:type="dxa"/>
            <w:noWrap w:val="0"/>
            <w:vAlign w:val="top"/>
          </w:tcPr>
          <w:p w14:paraId="0ABAD78E">
            <w:pPr>
              <w:spacing w:line="240" w:lineRule="auto"/>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drawing>
                <wp:inline distT="0" distB="0" distL="114300" distR="114300">
                  <wp:extent cx="2705100" cy="2028825"/>
                  <wp:effectExtent l="0" t="0" r="7620" b="13335"/>
                  <wp:docPr id="13" name="图片 13" descr="287461feeb2d52f514b1a95b6f32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87461feeb2d52f514b1a95b6f328b4"/>
                          <pic:cNvPicPr>
                            <a:picLocks noChangeAspect="1"/>
                          </pic:cNvPicPr>
                        </pic:nvPicPr>
                        <pic:blipFill>
                          <a:blip r:embed="rId16"/>
                          <a:stretch>
                            <a:fillRect/>
                          </a:stretch>
                        </pic:blipFill>
                        <pic:spPr>
                          <a:xfrm>
                            <a:off x="0" y="0"/>
                            <a:ext cx="2705100" cy="2028825"/>
                          </a:xfrm>
                          <a:prstGeom prst="rect">
                            <a:avLst/>
                          </a:prstGeom>
                        </pic:spPr>
                      </pic:pic>
                    </a:graphicData>
                  </a:graphic>
                </wp:inline>
              </w:drawing>
            </w:r>
          </w:p>
        </w:tc>
        <w:tc>
          <w:tcPr>
            <w:tcW w:w="4643" w:type="dxa"/>
            <w:noWrap w:val="0"/>
            <w:vAlign w:val="top"/>
          </w:tcPr>
          <w:p w14:paraId="35395602">
            <w:pPr>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drawing>
                <wp:inline distT="0" distB="0" distL="114300" distR="114300">
                  <wp:extent cx="2809240" cy="2106930"/>
                  <wp:effectExtent l="0" t="0" r="10160" b="11430"/>
                  <wp:docPr id="23" name="图片 23" descr="20b16e6a8b5df74f277cc54e638b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b16e6a8b5df74f277cc54e638b6d3"/>
                          <pic:cNvPicPr>
                            <a:picLocks noChangeAspect="1"/>
                          </pic:cNvPicPr>
                        </pic:nvPicPr>
                        <pic:blipFill>
                          <a:blip r:embed="rId17"/>
                          <a:stretch>
                            <a:fillRect/>
                          </a:stretch>
                        </pic:blipFill>
                        <pic:spPr>
                          <a:xfrm>
                            <a:off x="0" y="0"/>
                            <a:ext cx="2809240" cy="2106930"/>
                          </a:xfrm>
                          <a:prstGeom prst="rect">
                            <a:avLst/>
                          </a:prstGeom>
                        </pic:spPr>
                      </pic:pic>
                    </a:graphicData>
                  </a:graphic>
                </wp:inline>
              </w:drawing>
            </w:r>
          </w:p>
        </w:tc>
      </w:tr>
      <w:tr w14:paraId="48C4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253B9C3A">
            <w:pPr>
              <w:spacing w:line="400" w:lineRule="exact"/>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卸油口</w:t>
            </w:r>
          </w:p>
        </w:tc>
        <w:tc>
          <w:tcPr>
            <w:tcW w:w="4643" w:type="dxa"/>
            <w:noWrap w:val="0"/>
            <w:vAlign w:val="top"/>
          </w:tcPr>
          <w:p w14:paraId="3ACC6155">
            <w:pPr>
              <w:spacing w:line="400" w:lineRule="exact"/>
              <w:jc w:val="center"/>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消防器材、危废暂存间</w:t>
            </w:r>
          </w:p>
        </w:tc>
      </w:tr>
    </w:tbl>
    <w:p w14:paraId="11BB92B5">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b/>
          <w:bCs/>
          <w:sz w:val="28"/>
          <w:szCs w:val="28"/>
          <w:lang w:val="en-US" w:eastAsia="zh-CN"/>
        </w:rPr>
        <w:sectPr>
          <w:headerReference r:id="rId3" w:type="default"/>
          <w:footerReference r:id="rId4" w:type="default"/>
          <w:pgSz w:w="11906" w:h="16838"/>
          <w:pgMar w:top="1417" w:right="1134" w:bottom="1134" w:left="1587" w:header="737" w:footer="850" w:gutter="0"/>
          <w:pgBorders>
            <w:top w:val="none" w:sz="0" w:space="0"/>
            <w:left w:val="none" w:sz="0" w:space="0"/>
            <w:bottom w:val="none" w:sz="0" w:space="0"/>
            <w:right w:val="none" w:sz="0" w:space="0"/>
          </w:pgBorders>
          <w:pgNumType w:fmt="upperRoman" w:start="1"/>
          <w:cols w:space="425" w:num="1"/>
          <w:docGrid w:type="lines" w:linePitch="312" w:charSpace="0"/>
        </w:sectPr>
      </w:pPr>
    </w:p>
    <w:tbl>
      <w:tblPr>
        <w:tblStyle w:val="16"/>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7"/>
        <w:gridCol w:w="4643"/>
      </w:tblGrid>
      <w:tr w14:paraId="47D1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4517" w:type="dxa"/>
            <w:noWrap w:val="0"/>
            <w:vAlign w:val="top"/>
          </w:tcPr>
          <w:p w14:paraId="06CE11A8">
            <w:pPr>
              <w:spacing w:line="240" w:lineRule="auto"/>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drawing>
                <wp:inline distT="0" distB="0" distL="114300" distR="114300">
                  <wp:extent cx="2705100" cy="2028825"/>
                  <wp:effectExtent l="0" t="0" r="7620" b="13335"/>
                  <wp:docPr id="17" name="图片 17" descr="02bcd81aa8fb5f60e96ef3d5bd8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2bcd81aa8fb5f60e96ef3d5bd86580"/>
                          <pic:cNvPicPr>
                            <a:picLocks noChangeAspect="1"/>
                          </pic:cNvPicPr>
                        </pic:nvPicPr>
                        <pic:blipFill>
                          <a:blip r:embed="rId18"/>
                          <a:stretch>
                            <a:fillRect/>
                          </a:stretch>
                        </pic:blipFill>
                        <pic:spPr>
                          <a:xfrm>
                            <a:off x="0" y="0"/>
                            <a:ext cx="2705100" cy="2028825"/>
                          </a:xfrm>
                          <a:prstGeom prst="rect">
                            <a:avLst/>
                          </a:prstGeom>
                        </pic:spPr>
                      </pic:pic>
                    </a:graphicData>
                  </a:graphic>
                </wp:inline>
              </w:drawing>
            </w:r>
          </w:p>
        </w:tc>
        <w:tc>
          <w:tcPr>
            <w:tcW w:w="4643" w:type="dxa"/>
            <w:noWrap w:val="0"/>
            <w:vAlign w:val="top"/>
          </w:tcPr>
          <w:p w14:paraId="12F79E08">
            <w:pPr>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drawing>
                <wp:inline distT="0" distB="0" distL="114300" distR="114300">
                  <wp:extent cx="2774315" cy="2106930"/>
                  <wp:effectExtent l="0" t="0" r="14605" b="11430"/>
                  <wp:docPr id="18" name="图片 18" descr="b53b9c9616ff9d91bc40115f6ca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53b9c9616ff9d91bc40115f6ca3629"/>
                          <pic:cNvPicPr>
                            <a:picLocks noChangeAspect="1"/>
                          </pic:cNvPicPr>
                        </pic:nvPicPr>
                        <pic:blipFill>
                          <a:blip r:embed="rId19"/>
                          <a:srcRect l="17495"/>
                          <a:stretch>
                            <a:fillRect/>
                          </a:stretch>
                        </pic:blipFill>
                        <pic:spPr>
                          <a:xfrm>
                            <a:off x="0" y="0"/>
                            <a:ext cx="2774315" cy="2106930"/>
                          </a:xfrm>
                          <a:prstGeom prst="rect">
                            <a:avLst/>
                          </a:prstGeom>
                        </pic:spPr>
                      </pic:pic>
                    </a:graphicData>
                  </a:graphic>
                </wp:inline>
              </w:drawing>
            </w:r>
          </w:p>
        </w:tc>
      </w:tr>
      <w:tr w14:paraId="7E62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384F853D">
            <w:pPr>
              <w:spacing w:line="400" w:lineRule="exact"/>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洗车区</w:t>
            </w:r>
          </w:p>
        </w:tc>
        <w:tc>
          <w:tcPr>
            <w:tcW w:w="4643" w:type="dxa"/>
            <w:noWrap w:val="0"/>
            <w:vAlign w:val="top"/>
          </w:tcPr>
          <w:p w14:paraId="2C1B7109">
            <w:pPr>
              <w:spacing w:line="400" w:lineRule="exact"/>
              <w:jc w:val="center"/>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视频监控</w:t>
            </w:r>
          </w:p>
        </w:tc>
      </w:tr>
      <w:tr w14:paraId="41D7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517" w:type="dxa"/>
            <w:noWrap w:val="0"/>
            <w:vAlign w:val="top"/>
          </w:tcPr>
          <w:p w14:paraId="4C5D2D01">
            <w:pPr>
              <w:spacing w:line="240" w:lineRule="auto"/>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drawing>
                <wp:inline distT="0" distB="0" distL="114300" distR="114300">
                  <wp:extent cx="2705100" cy="2028825"/>
                  <wp:effectExtent l="0" t="0" r="7620" b="13335"/>
                  <wp:docPr id="19" name="图片 19" descr="b6feffdf9dd35584dd04130453ba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6feffdf9dd35584dd04130453ba9eb"/>
                          <pic:cNvPicPr>
                            <a:picLocks noChangeAspect="1"/>
                          </pic:cNvPicPr>
                        </pic:nvPicPr>
                        <pic:blipFill>
                          <a:blip r:embed="rId20"/>
                          <a:stretch>
                            <a:fillRect/>
                          </a:stretch>
                        </pic:blipFill>
                        <pic:spPr>
                          <a:xfrm>
                            <a:off x="0" y="0"/>
                            <a:ext cx="2705100" cy="2028825"/>
                          </a:xfrm>
                          <a:prstGeom prst="rect">
                            <a:avLst/>
                          </a:prstGeom>
                        </pic:spPr>
                      </pic:pic>
                    </a:graphicData>
                  </a:graphic>
                </wp:inline>
              </w:drawing>
            </w:r>
          </w:p>
        </w:tc>
        <w:tc>
          <w:tcPr>
            <w:tcW w:w="4643" w:type="dxa"/>
            <w:noWrap w:val="0"/>
            <w:vAlign w:val="top"/>
          </w:tcPr>
          <w:p w14:paraId="4675F481">
            <w:pPr>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drawing>
                <wp:inline distT="0" distB="0" distL="114300" distR="114300">
                  <wp:extent cx="2809240" cy="2106930"/>
                  <wp:effectExtent l="0" t="0" r="10160" b="11430"/>
                  <wp:docPr id="20" name="图片 20" descr="1b05a8f9a081ae92422658b7fa28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b05a8f9a081ae92422658b7fa28e60"/>
                          <pic:cNvPicPr>
                            <a:picLocks noChangeAspect="1"/>
                          </pic:cNvPicPr>
                        </pic:nvPicPr>
                        <pic:blipFill>
                          <a:blip r:embed="rId21"/>
                          <a:stretch>
                            <a:fillRect/>
                          </a:stretch>
                        </pic:blipFill>
                        <pic:spPr>
                          <a:xfrm>
                            <a:off x="0" y="0"/>
                            <a:ext cx="2809240" cy="2106930"/>
                          </a:xfrm>
                          <a:prstGeom prst="rect">
                            <a:avLst/>
                          </a:prstGeom>
                        </pic:spPr>
                      </pic:pic>
                    </a:graphicData>
                  </a:graphic>
                </wp:inline>
              </w:drawing>
            </w:r>
          </w:p>
        </w:tc>
      </w:tr>
      <w:tr w14:paraId="334A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363E3A93">
            <w:pPr>
              <w:spacing w:line="400" w:lineRule="exact"/>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液位仪</w:t>
            </w:r>
          </w:p>
        </w:tc>
        <w:tc>
          <w:tcPr>
            <w:tcW w:w="4643" w:type="dxa"/>
            <w:noWrap w:val="0"/>
            <w:vAlign w:val="top"/>
          </w:tcPr>
          <w:p w14:paraId="1453CD80">
            <w:pPr>
              <w:spacing w:line="400" w:lineRule="exact"/>
              <w:jc w:val="center"/>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配电室</w:t>
            </w:r>
          </w:p>
        </w:tc>
      </w:tr>
      <w:tr w14:paraId="71F9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0" w:hRule="atLeast"/>
          <w:jc w:val="center"/>
        </w:trPr>
        <w:tc>
          <w:tcPr>
            <w:tcW w:w="4517" w:type="dxa"/>
            <w:noWrap w:val="0"/>
            <w:vAlign w:val="top"/>
          </w:tcPr>
          <w:p w14:paraId="57901378">
            <w:pPr>
              <w:spacing w:line="240" w:lineRule="auto"/>
              <w:jc w:val="center"/>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drawing>
                <wp:inline distT="0" distB="0" distL="114300" distR="114300">
                  <wp:extent cx="2705100" cy="2028825"/>
                  <wp:effectExtent l="0" t="0" r="7620" b="13335"/>
                  <wp:docPr id="21" name="图片 21" descr="05029e0d4352cb99173c5d9edf61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029e0d4352cb99173c5d9edf611b6"/>
                          <pic:cNvPicPr>
                            <a:picLocks noChangeAspect="1"/>
                          </pic:cNvPicPr>
                        </pic:nvPicPr>
                        <pic:blipFill>
                          <a:blip r:embed="rId22"/>
                          <a:stretch>
                            <a:fillRect/>
                          </a:stretch>
                        </pic:blipFill>
                        <pic:spPr>
                          <a:xfrm>
                            <a:off x="0" y="0"/>
                            <a:ext cx="2705100" cy="2028825"/>
                          </a:xfrm>
                          <a:prstGeom prst="rect">
                            <a:avLst/>
                          </a:prstGeom>
                        </pic:spPr>
                      </pic:pic>
                    </a:graphicData>
                  </a:graphic>
                </wp:inline>
              </w:drawing>
            </w:r>
          </w:p>
        </w:tc>
        <w:tc>
          <w:tcPr>
            <w:tcW w:w="4643" w:type="dxa"/>
            <w:noWrap w:val="0"/>
            <w:vAlign w:val="top"/>
          </w:tcPr>
          <w:p w14:paraId="42205A88">
            <w:pPr>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drawing>
                <wp:inline distT="0" distB="0" distL="114300" distR="114300">
                  <wp:extent cx="2809240" cy="2106930"/>
                  <wp:effectExtent l="0" t="0" r="10160" b="11430"/>
                  <wp:docPr id="24" name="图片 24" descr="44b8e5e17e5dfb7940bd6d64c4a9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4b8e5e17e5dfb7940bd6d64c4a985b"/>
                          <pic:cNvPicPr>
                            <a:picLocks noChangeAspect="1"/>
                          </pic:cNvPicPr>
                        </pic:nvPicPr>
                        <pic:blipFill>
                          <a:blip r:embed="rId23"/>
                          <a:stretch>
                            <a:fillRect/>
                          </a:stretch>
                        </pic:blipFill>
                        <pic:spPr>
                          <a:xfrm>
                            <a:off x="0" y="0"/>
                            <a:ext cx="2809240" cy="2106930"/>
                          </a:xfrm>
                          <a:prstGeom prst="rect">
                            <a:avLst/>
                          </a:prstGeom>
                        </pic:spPr>
                      </pic:pic>
                    </a:graphicData>
                  </a:graphic>
                </wp:inline>
              </w:drawing>
            </w:r>
          </w:p>
        </w:tc>
      </w:tr>
      <w:tr w14:paraId="19AF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7" w:type="dxa"/>
            <w:noWrap w:val="0"/>
            <w:vAlign w:val="top"/>
          </w:tcPr>
          <w:p w14:paraId="0D11BA59">
            <w:pPr>
              <w:spacing w:line="400" w:lineRule="exact"/>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站房内制度上墙</w:t>
            </w:r>
          </w:p>
        </w:tc>
        <w:tc>
          <w:tcPr>
            <w:tcW w:w="4643" w:type="dxa"/>
            <w:noWrap w:val="0"/>
            <w:vAlign w:val="top"/>
          </w:tcPr>
          <w:p w14:paraId="17CB7887">
            <w:pPr>
              <w:spacing w:line="400" w:lineRule="exact"/>
              <w:jc w:val="center"/>
              <w:rPr>
                <w:rFonts w:hint="default" w:ascii="宋体" w:hAnsi="宋体" w:cs="宋体"/>
                <w:b/>
                <w:bCs/>
                <w:color w:val="000000"/>
                <w:szCs w:val="21"/>
                <w:lang w:val="en-US" w:eastAsia="zh-CN"/>
              </w:rPr>
            </w:pPr>
            <w:r>
              <w:rPr>
                <w:rFonts w:hint="eastAsia" w:ascii="宋体" w:hAnsi="宋体" w:cs="宋体"/>
                <w:b/>
                <w:bCs/>
                <w:color w:val="000000"/>
                <w:szCs w:val="21"/>
                <w:lang w:val="en-US" w:eastAsia="zh-CN"/>
              </w:rPr>
              <w:t>油水分离池</w:t>
            </w:r>
          </w:p>
        </w:tc>
      </w:tr>
    </w:tbl>
    <w:p w14:paraId="35E04DD5">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b/>
          <w:bCs/>
          <w:sz w:val="36"/>
          <w:szCs w:val="36"/>
        </w:rPr>
        <w:sectPr>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p>
    <w:p w14:paraId="01E46498">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cs="宋体"/>
          <w:b/>
          <w:bCs/>
          <w:sz w:val="36"/>
          <w:szCs w:val="36"/>
        </w:rPr>
      </w:pPr>
      <w:r>
        <w:rPr>
          <w:rFonts w:hint="eastAsia" w:ascii="宋体" w:hAnsi="宋体" w:cs="宋体"/>
          <w:b/>
          <w:bCs/>
          <w:sz w:val="36"/>
          <w:szCs w:val="36"/>
        </w:rPr>
        <w:t>前  言</w:t>
      </w:r>
    </w:p>
    <w:p w14:paraId="5D8AD098">
      <w:pPr>
        <w:keepNext w:val="0"/>
        <w:keepLines w:val="0"/>
        <w:pageBreakBefore w:val="0"/>
        <w:widowControl w:val="0"/>
        <w:suppressAutoHyphens/>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FF"/>
          <w:spacing w:val="0"/>
          <w:sz w:val="28"/>
          <w:szCs w:val="28"/>
          <w:shd w:val="clear" w:color="FFFFFF" w:fill="D9D9D9"/>
        </w:rPr>
        <w:t>兰坪县宏源经贸有限责任公司</w:t>
      </w:r>
      <w:r>
        <w:rPr>
          <w:rFonts w:hint="eastAsia" w:ascii="宋体" w:hAnsi="宋体" w:cs="宋体"/>
          <w:i w:val="0"/>
          <w:iCs w:val="0"/>
          <w:caps w:val="0"/>
          <w:color w:val="0000FF"/>
          <w:spacing w:val="0"/>
          <w:sz w:val="28"/>
          <w:szCs w:val="28"/>
          <w:shd w:val="clear" w:color="FFFFFF" w:fill="D9D9D9"/>
          <w:lang w:eastAsia="zh-CN"/>
        </w:rPr>
        <w:t>（</w:t>
      </w:r>
      <w:r>
        <w:rPr>
          <w:rFonts w:hint="eastAsia" w:ascii="宋体" w:hAnsi="宋体" w:cs="宋体"/>
          <w:i w:val="0"/>
          <w:iCs w:val="0"/>
          <w:caps w:val="0"/>
          <w:color w:val="0000FF"/>
          <w:spacing w:val="0"/>
          <w:sz w:val="28"/>
          <w:szCs w:val="28"/>
          <w:shd w:val="clear" w:color="FFFFFF" w:fill="D9D9D9"/>
          <w:lang w:val="en-US" w:eastAsia="zh-CN"/>
        </w:rPr>
        <w:t>以下简称“宏源加油站”）</w:t>
      </w:r>
      <w:r>
        <w:rPr>
          <w:rFonts w:hint="eastAsia" w:ascii="宋体" w:hAnsi="宋体" w:eastAsia="宋体" w:cs="宋体"/>
          <w:snapToGrid w:val="0"/>
          <w:kern w:val="20"/>
          <w:sz w:val="28"/>
        </w:rPr>
        <w:t>位于云南省</w:t>
      </w:r>
      <w:r>
        <w:rPr>
          <w:rFonts w:hint="eastAsia" w:ascii="宋体" w:hAnsi="宋体" w:cs="宋体"/>
          <w:snapToGrid w:val="0"/>
          <w:kern w:val="20"/>
          <w:sz w:val="28"/>
          <w:lang w:val="en-US" w:eastAsia="zh-CN"/>
        </w:rPr>
        <w:t>怒江州</w:t>
      </w:r>
      <w:r>
        <w:rPr>
          <w:rFonts w:hint="eastAsia" w:ascii="宋体" w:hAnsi="宋体" w:eastAsia="宋体" w:cs="宋体"/>
          <w:i w:val="0"/>
          <w:iCs w:val="0"/>
          <w:caps w:val="0"/>
          <w:spacing w:val="0"/>
          <w:sz w:val="28"/>
          <w:szCs w:val="28"/>
          <w:shd w:val="clear" w:fill="FFFFFF"/>
        </w:rPr>
        <w:t>兰坪白族普米族自治县通甸镇八十一社区</w:t>
      </w:r>
      <w:r>
        <w:rPr>
          <w:rFonts w:hint="eastAsia" w:ascii="宋体" w:hAnsi="宋体" w:eastAsia="宋体" w:cs="宋体"/>
          <w:snapToGrid w:val="0"/>
          <w:kern w:val="20"/>
          <w:sz w:val="28"/>
        </w:rPr>
        <w:t>，公司类型为</w:t>
      </w:r>
      <w:r>
        <w:rPr>
          <w:rFonts w:hint="eastAsia" w:ascii="宋体" w:hAnsi="宋体" w:eastAsia="宋体" w:cs="宋体"/>
          <w:color w:val="000000"/>
          <w:sz w:val="28"/>
          <w:szCs w:val="28"/>
        </w:rPr>
        <w:t>个人独资企业</w:t>
      </w:r>
      <w:r>
        <w:rPr>
          <w:rFonts w:hint="eastAsia" w:ascii="宋体" w:hAnsi="宋体" w:eastAsia="宋体" w:cs="宋体"/>
          <w:snapToGrid w:val="0"/>
          <w:kern w:val="20"/>
          <w:sz w:val="28"/>
        </w:rPr>
        <w:t>，负责人</w:t>
      </w:r>
      <w:r>
        <w:rPr>
          <w:rFonts w:hint="eastAsia" w:ascii="宋体" w:hAnsi="宋体" w:cs="宋体"/>
          <w:snapToGrid w:val="0"/>
          <w:kern w:val="20"/>
          <w:sz w:val="28"/>
          <w:lang w:val="en-US" w:eastAsia="zh-CN"/>
        </w:rPr>
        <w:t>严志鹏</w:t>
      </w:r>
      <w:r>
        <w:rPr>
          <w:rFonts w:hint="eastAsia" w:ascii="宋体" w:hAnsi="宋体" w:eastAsia="宋体" w:cs="宋体"/>
          <w:snapToGrid w:val="0"/>
          <w:kern w:val="20"/>
          <w:sz w:val="28"/>
        </w:rPr>
        <w:t>，主要经营汽油（92#</w:t>
      </w:r>
      <w:r>
        <w:rPr>
          <w:rFonts w:hint="eastAsia" w:ascii="宋体" w:hAnsi="宋体" w:eastAsia="宋体" w:cs="宋体"/>
          <w:snapToGrid w:val="0"/>
          <w:kern w:val="20"/>
          <w:sz w:val="28"/>
          <w:lang w:eastAsia="zh-CN"/>
        </w:rPr>
        <w:t>、</w:t>
      </w:r>
      <w:r>
        <w:rPr>
          <w:rFonts w:hint="eastAsia" w:ascii="宋体" w:hAnsi="宋体" w:eastAsia="宋体" w:cs="宋体"/>
          <w:snapToGrid w:val="0"/>
          <w:kern w:val="20"/>
          <w:sz w:val="28"/>
          <w:lang w:val="en-US" w:eastAsia="zh-CN"/>
        </w:rPr>
        <w:t>95#</w:t>
      </w:r>
      <w:r>
        <w:rPr>
          <w:rFonts w:hint="eastAsia" w:ascii="宋体" w:hAnsi="宋体" w:eastAsia="宋体" w:cs="宋体"/>
          <w:snapToGrid w:val="0"/>
          <w:kern w:val="20"/>
          <w:sz w:val="28"/>
        </w:rPr>
        <w:t>）和柴油（0#），属于</w:t>
      </w:r>
      <w:r>
        <w:rPr>
          <w:rFonts w:hint="eastAsia" w:ascii="宋体" w:hAnsi="宋体" w:cs="宋体"/>
          <w:snapToGrid w:val="0"/>
          <w:kern w:val="20"/>
          <w:sz w:val="28"/>
          <w:lang w:val="en-US" w:eastAsia="zh-CN"/>
        </w:rPr>
        <w:t>二</w:t>
      </w:r>
      <w:r>
        <w:rPr>
          <w:rFonts w:hint="eastAsia" w:ascii="宋体" w:hAnsi="宋体" w:eastAsia="宋体" w:cs="宋体"/>
          <w:snapToGrid w:val="0"/>
          <w:kern w:val="20"/>
          <w:sz w:val="28"/>
        </w:rPr>
        <w:t>级加油站</w:t>
      </w:r>
      <w:r>
        <w:rPr>
          <w:rFonts w:hint="eastAsia" w:ascii="宋体" w:hAnsi="宋体" w:eastAsia="宋体" w:cs="宋体"/>
          <w:sz w:val="28"/>
          <w:szCs w:val="28"/>
        </w:rPr>
        <w:t>（其中</w:t>
      </w:r>
      <w:r>
        <w:rPr>
          <w:rFonts w:hint="eastAsia" w:ascii="宋体" w:hAnsi="宋体" w:cs="宋体"/>
          <w:sz w:val="28"/>
          <w:szCs w:val="28"/>
          <w:lang w:val="en-US" w:eastAsia="zh-CN"/>
        </w:rPr>
        <w:t>50</w:t>
      </w:r>
      <w:r>
        <w:rPr>
          <w:rFonts w:hint="eastAsia" w:ascii="宋体" w:hAnsi="宋体" w:eastAsia="宋体" w:cs="宋体"/>
          <w:sz w:val="28"/>
          <w:szCs w:val="28"/>
        </w:rPr>
        <w:t>m</w:t>
      </w:r>
      <w:r>
        <w:rPr>
          <w:rFonts w:hint="eastAsia" w:ascii="宋体" w:hAnsi="宋体" w:eastAsia="宋体" w:cs="宋体"/>
          <w:sz w:val="28"/>
          <w:szCs w:val="28"/>
          <w:vertAlign w:val="superscript"/>
        </w:rPr>
        <w:t>3</w:t>
      </w:r>
      <w:r>
        <w:rPr>
          <w:rFonts w:hint="eastAsia" w:ascii="宋体" w:hAnsi="宋体" w:eastAsia="宋体" w:cs="宋体"/>
          <w:sz w:val="28"/>
          <w:szCs w:val="28"/>
        </w:rPr>
        <w:t>9</w:t>
      </w:r>
      <w:r>
        <w:rPr>
          <w:rFonts w:hint="eastAsia" w:ascii="宋体" w:hAnsi="宋体" w:eastAsia="宋体" w:cs="宋体"/>
          <w:sz w:val="28"/>
          <w:szCs w:val="28"/>
          <w:lang w:val="en-US" w:eastAsia="zh-CN"/>
        </w:rPr>
        <w:t>5</w:t>
      </w:r>
      <w:r>
        <w:rPr>
          <w:rFonts w:hint="eastAsia" w:ascii="宋体" w:hAnsi="宋体" w:eastAsia="宋体" w:cs="宋体"/>
          <w:sz w:val="28"/>
          <w:szCs w:val="28"/>
        </w:rPr>
        <w:t>#汽油罐</w:t>
      </w:r>
      <w:r>
        <w:rPr>
          <w:rFonts w:hint="eastAsia" w:ascii="宋体" w:hAnsi="宋体" w:eastAsia="宋体" w:cs="宋体"/>
          <w:sz w:val="28"/>
          <w:szCs w:val="28"/>
          <w:lang w:val="en-US" w:eastAsia="zh-CN"/>
        </w:rPr>
        <w:t>1</w:t>
      </w:r>
      <w:r>
        <w:rPr>
          <w:rFonts w:hint="eastAsia" w:ascii="宋体" w:hAnsi="宋体" w:eastAsia="宋体" w:cs="宋体"/>
          <w:sz w:val="28"/>
          <w:szCs w:val="28"/>
        </w:rPr>
        <w:t>具、</w:t>
      </w:r>
      <w:r>
        <w:rPr>
          <w:rFonts w:hint="eastAsia" w:ascii="宋体" w:hAnsi="宋体" w:cs="宋体"/>
          <w:sz w:val="28"/>
          <w:szCs w:val="28"/>
          <w:lang w:val="en-US" w:eastAsia="zh-CN"/>
        </w:rPr>
        <w:t>50</w:t>
      </w:r>
      <w:r>
        <w:rPr>
          <w:rFonts w:hint="eastAsia" w:ascii="宋体" w:hAnsi="宋体" w:eastAsia="宋体" w:cs="宋体"/>
          <w:sz w:val="28"/>
          <w:szCs w:val="28"/>
        </w:rPr>
        <w:t>m</w:t>
      </w:r>
      <w:r>
        <w:rPr>
          <w:rFonts w:hint="eastAsia" w:ascii="宋体" w:hAnsi="宋体" w:eastAsia="宋体" w:cs="宋体"/>
          <w:sz w:val="28"/>
          <w:szCs w:val="28"/>
          <w:vertAlign w:val="superscript"/>
        </w:rPr>
        <w:t>3</w:t>
      </w:r>
      <w:r>
        <w:rPr>
          <w:rFonts w:hint="eastAsia" w:ascii="宋体" w:hAnsi="宋体" w:eastAsia="宋体" w:cs="宋体"/>
          <w:sz w:val="28"/>
          <w:szCs w:val="28"/>
        </w:rPr>
        <w:t>9</w:t>
      </w:r>
      <w:r>
        <w:rPr>
          <w:rFonts w:hint="eastAsia" w:ascii="宋体" w:hAnsi="宋体" w:eastAsia="宋体" w:cs="宋体"/>
          <w:sz w:val="28"/>
          <w:szCs w:val="28"/>
          <w:lang w:val="en-US" w:eastAsia="zh-CN"/>
        </w:rPr>
        <w:t>2</w:t>
      </w:r>
      <w:r>
        <w:rPr>
          <w:rFonts w:hint="eastAsia" w:ascii="宋体" w:hAnsi="宋体" w:eastAsia="宋体" w:cs="宋体"/>
          <w:sz w:val="28"/>
          <w:szCs w:val="28"/>
        </w:rPr>
        <w:t>#汽油罐</w:t>
      </w:r>
      <w:r>
        <w:rPr>
          <w:rFonts w:hint="eastAsia" w:ascii="宋体" w:hAnsi="宋体" w:eastAsia="宋体" w:cs="宋体"/>
          <w:sz w:val="28"/>
          <w:szCs w:val="28"/>
          <w:lang w:val="en-US" w:eastAsia="zh-CN"/>
        </w:rPr>
        <w:t>1</w:t>
      </w:r>
      <w:r>
        <w:rPr>
          <w:rFonts w:hint="eastAsia" w:ascii="宋体" w:hAnsi="宋体" w:eastAsia="宋体" w:cs="宋体"/>
          <w:sz w:val="28"/>
          <w:szCs w:val="28"/>
        </w:rPr>
        <w:t>具</w:t>
      </w:r>
      <w:r>
        <w:rPr>
          <w:rFonts w:hint="eastAsia" w:ascii="宋体" w:hAnsi="宋体" w:eastAsia="宋体" w:cs="宋体"/>
          <w:sz w:val="28"/>
          <w:szCs w:val="28"/>
          <w:lang w:eastAsia="zh-CN"/>
        </w:rPr>
        <w:t>、</w:t>
      </w:r>
      <w:r>
        <w:rPr>
          <w:rFonts w:hint="eastAsia" w:ascii="宋体" w:hAnsi="宋体" w:cs="宋体"/>
          <w:sz w:val="28"/>
          <w:szCs w:val="28"/>
          <w:lang w:val="en-US" w:eastAsia="zh-CN"/>
        </w:rPr>
        <w:t>5</w:t>
      </w:r>
      <w:r>
        <w:rPr>
          <w:rFonts w:hint="eastAsia" w:ascii="宋体" w:hAnsi="宋体" w:eastAsia="宋体" w:cs="宋体"/>
          <w:sz w:val="28"/>
          <w:szCs w:val="28"/>
        </w:rPr>
        <w:t>0m³0</w:t>
      </w:r>
      <w:r>
        <w:rPr>
          <w:rFonts w:hint="eastAsia" w:ascii="宋体" w:hAnsi="宋体" w:eastAsia="宋体" w:cs="宋体"/>
          <w:color w:val="000000"/>
          <w:sz w:val="28"/>
          <w:szCs w:val="28"/>
        </w:rPr>
        <w:t>﹟柴油罐</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具</w:t>
      </w:r>
      <w:r>
        <w:rPr>
          <w:rFonts w:hint="eastAsia" w:ascii="宋体" w:hAnsi="宋体" w:eastAsia="宋体" w:cs="宋体"/>
          <w:sz w:val="28"/>
          <w:szCs w:val="28"/>
        </w:rPr>
        <w:t>）</w:t>
      </w:r>
      <w:r>
        <w:rPr>
          <w:rFonts w:hint="eastAsia" w:ascii="宋体" w:hAnsi="宋体" w:eastAsia="宋体" w:cs="宋体"/>
          <w:color w:val="000000"/>
          <w:sz w:val="28"/>
          <w:szCs w:val="28"/>
        </w:rPr>
        <w:t>，为了贯彻落实“安全第一、预防为主、综合治理”的安全方针，加强对危险化学品的安全管理，保证安全生产，保障人民生命财产安全，</w:t>
      </w:r>
      <w:r>
        <w:rPr>
          <w:rFonts w:hint="eastAsia" w:ascii="宋体" w:hAnsi="宋体" w:eastAsia="宋体" w:cs="宋体"/>
          <w:color w:val="auto"/>
          <w:kern w:val="0"/>
          <w:sz w:val="28"/>
          <w:szCs w:val="28"/>
          <w:lang w:val="en-US" w:eastAsia="zh-CN"/>
        </w:rPr>
        <w:t>根据《中华人民共和国安全生产法》《危险化学品安全管理条例》《危险化学品经营许可证管理办法》及《云南省安全生产监督管理局关于危险化学品经营行政许可有关事项的通知》等法规文件的要求</w:t>
      </w:r>
      <w:r>
        <w:rPr>
          <w:rFonts w:hint="eastAsia" w:ascii="宋体" w:hAnsi="宋体" w:eastAsia="宋体" w:cs="宋体"/>
          <w:color w:val="000000"/>
          <w:sz w:val="28"/>
          <w:szCs w:val="28"/>
        </w:rPr>
        <w:t>，</w:t>
      </w:r>
      <w:r>
        <w:rPr>
          <w:rFonts w:hint="eastAsia" w:ascii="宋体" w:hAnsi="宋体" w:cs="宋体"/>
          <w:i w:val="0"/>
          <w:iCs w:val="0"/>
          <w:caps w:val="0"/>
          <w:spacing w:val="0"/>
          <w:sz w:val="28"/>
          <w:szCs w:val="28"/>
          <w:shd w:val="clear" w:fill="FFFFFF"/>
          <w:lang w:val="en-US" w:eastAsia="zh-CN"/>
        </w:rPr>
        <w:t>宏源加油站</w:t>
      </w:r>
      <w:r>
        <w:rPr>
          <w:rFonts w:hint="eastAsia" w:ascii="宋体" w:hAnsi="宋体" w:eastAsia="宋体" w:cs="宋体"/>
          <w:color w:val="000000"/>
          <w:sz w:val="28"/>
          <w:szCs w:val="28"/>
        </w:rPr>
        <w:t>于20</w:t>
      </w:r>
      <w:r>
        <w:rPr>
          <w:rFonts w:hint="eastAsia" w:ascii="宋体" w:hAnsi="宋体" w:eastAsia="宋体" w:cs="宋体"/>
          <w:color w:val="000000"/>
          <w:sz w:val="28"/>
          <w:szCs w:val="28"/>
          <w:lang w:val="en-US" w:eastAsia="zh-CN"/>
        </w:rPr>
        <w:t>25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月委托</w:t>
      </w:r>
      <w:r>
        <w:rPr>
          <w:rFonts w:hint="eastAsia" w:ascii="宋体" w:hAnsi="宋体" w:eastAsia="宋体" w:cs="宋体"/>
          <w:color w:val="000000"/>
          <w:sz w:val="28"/>
          <w:szCs w:val="28"/>
          <w:lang w:val="en-US" w:eastAsia="zh-CN"/>
        </w:rPr>
        <w:t>昭通市鼎安科技有限公司</w:t>
      </w:r>
      <w:r>
        <w:rPr>
          <w:rFonts w:hint="eastAsia" w:ascii="宋体" w:hAnsi="宋体" w:eastAsia="宋体" w:cs="宋体"/>
          <w:color w:val="000000"/>
          <w:sz w:val="28"/>
          <w:szCs w:val="28"/>
        </w:rPr>
        <w:t>对</w:t>
      </w:r>
      <w:r>
        <w:rPr>
          <w:rFonts w:hint="eastAsia" w:ascii="宋体" w:hAnsi="宋体" w:cs="宋体"/>
          <w:i w:val="0"/>
          <w:iCs w:val="0"/>
          <w:caps w:val="0"/>
          <w:spacing w:val="0"/>
          <w:sz w:val="28"/>
          <w:szCs w:val="28"/>
          <w:shd w:val="clear" w:fill="FFFFFF"/>
          <w:lang w:val="en-US" w:eastAsia="zh-CN"/>
        </w:rPr>
        <w:t>宏源加油站</w:t>
      </w:r>
      <w:r>
        <w:rPr>
          <w:rFonts w:hint="eastAsia" w:ascii="宋体" w:hAnsi="宋体" w:eastAsia="宋体" w:cs="宋体"/>
          <w:color w:val="000000"/>
          <w:sz w:val="28"/>
          <w:szCs w:val="28"/>
        </w:rPr>
        <w:t>经营危险化学品的安全条件进行安全现状评价。</w:t>
      </w:r>
    </w:p>
    <w:p w14:paraId="4E740A8C">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昭通市鼎安科技有限公司接受企业委托后，成立了项目评价组，评价组依据《安全评价检测检验机构管理办法》（应急管理部令第1号）、《安全评价通则》（AQ8001-2007）、《危险化学品经营单位安全评价导则（试行)》（安监管管二字〔2003〕38号）等的规定与要求，遵循“科学公正、独立客观、安全准确、诚实守信”的原则和执业准则，经现场勘验和资料收集，依照法律、法规、规章、标准及国家相关文件，对该项目存在的主要危险、有害因素及其危险危害程度进行辨识与分析，对系统配备的安全设施进行有效性、可靠性评价，对项目的安全经营管理条件进行分析评价；并针对项目的安全现状条件，有针对性的提出了消除、减弱和预防该项目风险的对策措施，提高其安全程度；最后得出评价结论，并编制完成了该项目安全现状评价报告。</w:t>
      </w:r>
    </w:p>
    <w:p w14:paraId="1AB7C17B">
      <w:pPr>
        <w:keepNext/>
        <w:keepLines/>
        <w:pageBreakBefore w:val="0"/>
        <w:widowControl w:val="0"/>
        <w:kinsoku/>
        <w:wordWrap/>
        <w:overflowPunct/>
        <w:topLinePunct w:val="0"/>
        <w:autoSpaceDE/>
        <w:autoSpaceDN/>
        <w:bidi w:val="0"/>
        <w:adjustRightInd/>
        <w:snapToGrid/>
        <w:spacing w:before="0" w:beforeLines="0" w:after="0" w:afterLines="0" w:line="500" w:lineRule="exact"/>
        <w:ind w:firstLine="560" w:firstLineChars="200"/>
        <w:jc w:val="both"/>
        <w:textAlignment w:val="auto"/>
        <w:outlineLvl w:val="9"/>
        <w:rPr>
          <w:rFonts w:hint="eastAsia" w:ascii="宋体" w:hAnsi="宋体" w:eastAsia="宋体" w:cs="宋体"/>
          <w:b w:val="0"/>
          <w:color w:val="auto"/>
          <w:kern w:val="0"/>
          <w:sz w:val="28"/>
          <w:szCs w:val="28"/>
          <w:lang w:val="en-US" w:eastAsia="zh-CN" w:bidi="ar-SA"/>
        </w:rPr>
        <w:sectPr>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r>
        <w:rPr>
          <w:rFonts w:hint="eastAsia" w:ascii="宋体" w:hAnsi="宋体" w:eastAsia="宋体" w:cs="宋体"/>
          <w:b w:val="0"/>
          <w:color w:val="auto"/>
          <w:kern w:val="0"/>
          <w:sz w:val="28"/>
          <w:szCs w:val="28"/>
          <w:lang w:val="en-US" w:eastAsia="zh-CN" w:bidi="ar-SA"/>
        </w:rPr>
        <w:t>在本次评价过程中，得到了</w:t>
      </w:r>
      <w:r>
        <w:rPr>
          <w:rFonts w:hint="eastAsia" w:ascii="宋体" w:hAnsi="宋体" w:cs="宋体"/>
          <w:b w:val="0"/>
          <w:color w:val="auto"/>
          <w:kern w:val="0"/>
          <w:sz w:val="28"/>
          <w:szCs w:val="28"/>
          <w:lang w:val="en-US" w:eastAsia="zh-CN" w:bidi="ar-SA"/>
        </w:rPr>
        <w:t>怒江</w:t>
      </w:r>
      <w:r>
        <w:rPr>
          <w:rFonts w:hint="eastAsia" w:ascii="宋体" w:hAnsi="宋体" w:eastAsia="宋体" w:cs="宋体"/>
          <w:b w:val="0"/>
          <w:color w:val="auto"/>
          <w:kern w:val="0"/>
          <w:sz w:val="28"/>
          <w:szCs w:val="28"/>
          <w:lang w:val="en-US" w:eastAsia="zh-CN" w:bidi="ar-SA"/>
        </w:rPr>
        <w:t>州应急管理局、</w:t>
      </w:r>
      <w:r>
        <w:rPr>
          <w:rFonts w:hint="eastAsia" w:ascii="宋体" w:hAnsi="宋体" w:cs="宋体"/>
          <w:b w:val="0"/>
          <w:color w:val="auto"/>
          <w:kern w:val="0"/>
          <w:sz w:val="28"/>
          <w:szCs w:val="28"/>
          <w:lang w:val="en-US" w:eastAsia="zh-CN" w:bidi="ar-SA"/>
        </w:rPr>
        <w:t>兰坪</w:t>
      </w:r>
      <w:r>
        <w:rPr>
          <w:rFonts w:hint="eastAsia" w:ascii="宋体" w:hAnsi="宋体" w:eastAsia="宋体" w:cs="宋体"/>
          <w:b w:val="0"/>
          <w:color w:val="auto"/>
          <w:kern w:val="0"/>
          <w:sz w:val="28"/>
          <w:szCs w:val="28"/>
          <w:lang w:val="en-US" w:eastAsia="zh-CN" w:bidi="ar-SA"/>
        </w:rPr>
        <w:t>县应急管理局、宏源加油站相关人员的大力支持，在此一并表示感谢！</w:t>
      </w:r>
    </w:p>
    <w:sdt>
      <w:sdtPr>
        <w:rPr>
          <w:rFonts w:ascii="宋体" w:hAnsi="宋体" w:eastAsia="宋体" w:cs="Times New Roman"/>
          <w:kern w:val="2"/>
          <w:sz w:val="21"/>
          <w:szCs w:val="24"/>
          <w:lang w:val="en-US" w:eastAsia="zh-CN" w:bidi="ar-SA"/>
        </w:rPr>
        <w:id w:val="147451216"/>
        <w15:color w:val="DBDBDB"/>
        <w:docPartObj>
          <w:docPartGallery w:val="Table of Contents"/>
          <w:docPartUnique/>
        </w:docPartObj>
      </w:sdtPr>
      <w:sdtEndPr>
        <w:rPr>
          <w:rFonts w:hint="eastAsia" w:ascii="宋体" w:hAnsi="宋体" w:eastAsia="宋体" w:cs="宋体"/>
          <w:b/>
          <w:kern w:val="44"/>
          <w:sz w:val="44"/>
          <w:szCs w:val="24"/>
          <w:lang w:val="en-US" w:eastAsia="zh-CN" w:bidi="ar-SA"/>
        </w:rPr>
      </w:sdtEndPr>
      <w:sdtContent>
        <w:p w14:paraId="54DE9DBC">
          <w:pPr>
            <w:spacing w:before="0" w:beforeLines="0" w:after="0" w:afterLines="0" w:line="240" w:lineRule="auto"/>
            <w:ind w:left="0" w:leftChars="0" w:right="0" w:rightChars="0" w:firstLine="0" w:firstLineChars="0"/>
            <w:jc w:val="cente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p>
        <w:p w14:paraId="694225EB">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TOC \o "1-3" \h \u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_Toc22428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第1章 概述</w:t>
          </w:r>
          <w:r>
            <w:tab/>
          </w:r>
          <w:r>
            <w:fldChar w:fldCharType="begin"/>
          </w:r>
          <w:r>
            <w:instrText xml:space="preserve"> PAGEREF _Toc22428 \h </w:instrText>
          </w:r>
          <w:r>
            <w:fldChar w:fldCharType="separate"/>
          </w:r>
          <w:r>
            <w:t>- 1 -</w:t>
          </w:r>
          <w:r>
            <w:fldChar w:fldCharType="end"/>
          </w:r>
          <w:r>
            <w:rPr>
              <w:rFonts w:hint="eastAsia" w:ascii="宋体" w:hAnsi="宋体" w:eastAsia="宋体" w:cs="宋体"/>
              <w:lang w:val="en-US" w:eastAsia="zh-CN"/>
            </w:rPr>
            <w:fldChar w:fldCharType="end"/>
          </w:r>
        </w:p>
        <w:p w14:paraId="5240768C">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_Toc5251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1.1评价目的</w:t>
          </w:r>
          <w:r>
            <w:tab/>
          </w:r>
          <w:r>
            <w:fldChar w:fldCharType="begin"/>
          </w:r>
          <w:r>
            <w:instrText xml:space="preserve"> PAGEREF _Toc5251 \h </w:instrText>
          </w:r>
          <w:r>
            <w:fldChar w:fldCharType="separate"/>
          </w:r>
          <w:r>
            <w:t>- 1 -</w:t>
          </w:r>
          <w:r>
            <w:fldChar w:fldCharType="end"/>
          </w:r>
          <w:r>
            <w:rPr>
              <w:rFonts w:hint="eastAsia" w:ascii="宋体" w:hAnsi="宋体" w:eastAsia="宋体" w:cs="宋体"/>
              <w:lang w:val="en-US" w:eastAsia="zh-CN"/>
            </w:rPr>
            <w:fldChar w:fldCharType="end"/>
          </w:r>
        </w:p>
        <w:p w14:paraId="5B753353">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_Toc1673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1.2评价依据</w:t>
          </w:r>
          <w:r>
            <w:tab/>
          </w:r>
          <w:r>
            <w:fldChar w:fldCharType="begin"/>
          </w:r>
          <w:r>
            <w:instrText xml:space="preserve"> PAGEREF _Toc1673 \h </w:instrText>
          </w:r>
          <w:r>
            <w:fldChar w:fldCharType="separate"/>
          </w:r>
          <w:r>
            <w:t>- 1 -</w:t>
          </w:r>
          <w:r>
            <w:fldChar w:fldCharType="end"/>
          </w:r>
          <w:r>
            <w:rPr>
              <w:rFonts w:hint="eastAsia" w:ascii="宋体" w:hAnsi="宋体" w:eastAsia="宋体" w:cs="宋体"/>
              <w:lang w:val="en-US" w:eastAsia="zh-CN"/>
            </w:rPr>
            <w:fldChar w:fldCharType="end"/>
          </w:r>
        </w:p>
        <w:p w14:paraId="0687FD99">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_Toc1080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1.2.1国家法律法规</w:t>
          </w:r>
          <w:r>
            <w:tab/>
          </w:r>
          <w:r>
            <w:fldChar w:fldCharType="begin"/>
          </w:r>
          <w:r>
            <w:instrText xml:space="preserve"> PAGEREF _Toc1080 \h </w:instrText>
          </w:r>
          <w:r>
            <w:fldChar w:fldCharType="separate"/>
          </w:r>
          <w:r>
            <w:t>- 1 -</w:t>
          </w:r>
          <w:r>
            <w:fldChar w:fldCharType="end"/>
          </w:r>
          <w:r>
            <w:rPr>
              <w:rFonts w:hint="eastAsia" w:ascii="宋体" w:hAnsi="宋体" w:eastAsia="宋体" w:cs="宋体"/>
              <w:lang w:val="en-US" w:eastAsia="zh-CN"/>
            </w:rPr>
            <w:fldChar w:fldCharType="end"/>
          </w:r>
        </w:p>
        <w:p w14:paraId="0DAA344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_Toc26138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1.2.2部门规章</w:t>
          </w:r>
          <w:r>
            <w:tab/>
          </w:r>
          <w:r>
            <w:fldChar w:fldCharType="begin"/>
          </w:r>
          <w:r>
            <w:instrText xml:space="preserve"> PAGEREF _Toc26138 \h </w:instrText>
          </w:r>
          <w:r>
            <w:fldChar w:fldCharType="separate"/>
          </w:r>
          <w:r>
            <w:t>- 3 -</w:t>
          </w:r>
          <w:r>
            <w:fldChar w:fldCharType="end"/>
          </w:r>
          <w:r>
            <w:rPr>
              <w:rFonts w:hint="eastAsia" w:ascii="宋体" w:hAnsi="宋体" w:eastAsia="宋体" w:cs="宋体"/>
              <w:lang w:val="en-US" w:eastAsia="zh-CN"/>
            </w:rPr>
            <w:fldChar w:fldCharType="end"/>
          </w:r>
        </w:p>
        <w:p w14:paraId="012C6C9F">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_Toc27921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1.2.3地方性法规及文件</w:t>
          </w:r>
          <w:r>
            <w:tab/>
          </w:r>
          <w:r>
            <w:fldChar w:fldCharType="begin"/>
          </w:r>
          <w:r>
            <w:instrText xml:space="preserve"> PAGEREF _Toc27921 \h </w:instrText>
          </w:r>
          <w:r>
            <w:fldChar w:fldCharType="separate"/>
          </w:r>
          <w:r>
            <w:t>- 5 -</w:t>
          </w:r>
          <w:r>
            <w:fldChar w:fldCharType="end"/>
          </w:r>
          <w:r>
            <w:rPr>
              <w:rFonts w:hint="eastAsia" w:ascii="宋体" w:hAnsi="宋体" w:eastAsia="宋体" w:cs="宋体"/>
              <w:lang w:val="en-US" w:eastAsia="zh-CN"/>
            </w:rPr>
            <w:fldChar w:fldCharType="end"/>
          </w:r>
        </w:p>
        <w:p w14:paraId="51DAE3B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_Toc23042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1.2.4国家标准</w:t>
          </w:r>
          <w:r>
            <w:tab/>
          </w:r>
          <w:r>
            <w:fldChar w:fldCharType="begin"/>
          </w:r>
          <w:r>
            <w:instrText xml:space="preserve"> PAGEREF _Toc23042 \h </w:instrText>
          </w:r>
          <w:r>
            <w:fldChar w:fldCharType="separate"/>
          </w:r>
          <w:r>
            <w:t>- 6 -</w:t>
          </w:r>
          <w:r>
            <w:fldChar w:fldCharType="end"/>
          </w:r>
          <w:r>
            <w:rPr>
              <w:rFonts w:hint="eastAsia" w:ascii="宋体" w:hAnsi="宋体" w:eastAsia="宋体" w:cs="宋体"/>
              <w:lang w:val="en-US" w:eastAsia="zh-CN"/>
            </w:rPr>
            <w:fldChar w:fldCharType="end"/>
          </w:r>
        </w:p>
        <w:p w14:paraId="5700F462">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_Toc13985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1.2.5行业标准</w:t>
          </w:r>
          <w:r>
            <w:tab/>
          </w:r>
          <w:r>
            <w:fldChar w:fldCharType="begin"/>
          </w:r>
          <w:r>
            <w:instrText xml:space="preserve"> PAGEREF _Toc13985 \h </w:instrText>
          </w:r>
          <w:r>
            <w:fldChar w:fldCharType="separate"/>
          </w:r>
          <w:r>
            <w:t>- 7 -</w:t>
          </w:r>
          <w:r>
            <w:fldChar w:fldCharType="end"/>
          </w:r>
          <w:r>
            <w:rPr>
              <w:rFonts w:hint="eastAsia" w:ascii="宋体" w:hAnsi="宋体" w:eastAsia="宋体" w:cs="宋体"/>
              <w:lang w:val="en-US" w:eastAsia="zh-CN"/>
            </w:rPr>
            <w:fldChar w:fldCharType="end"/>
          </w:r>
        </w:p>
        <w:p w14:paraId="6B7B7534">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_Toc31653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1.2.6其它依据</w:t>
          </w:r>
          <w:r>
            <w:tab/>
          </w:r>
          <w:r>
            <w:fldChar w:fldCharType="begin"/>
          </w:r>
          <w:r>
            <w:instrText xml:space="preserve"> PAGEREF _Toc31653 \h </w:instrText>
          </w:r>
          <w:r>
            <w:fldChar w:fldCharType="separate"/>
          </w:r>
          <w:r>
            <w:t>- 8 -</w:t>
          </w:r>
          <w:r>
            <w:fldChar w:fldCharType="end"/>
          </w:r>
          <w:r>
            <w:rPr>
              <w:rFonts w:hint="eastAsia" w:ascii="宋体" w:hAnsi="宋体" w:eastAsia="宋体" w:cs="宋体"/>
              <w:lang w:val="en-US" w:eastAsia="zh-CN"/>
            </w:rPr>
            <w:fldChar w:fldCharType="end"/>
          </w:r>
        </w:p>
        <w:p w14:paraId="23F1428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_Toc3173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1.3评价原则</w:t>
          </w:r>
          <w:r>
            <w:tab/>
          </w:r>
          <w:r>
            <w:fldChar w:fldCharType="begin"/>
          </w:r>
          <w:r>
            <w:instrText xml:space="preserve"> PAGEREF _Toc3173 \h </w:instrText>
          </w:r>
          <w:r>
            <w:fldChar w:fldCharType="separate"/>
          </w:r>
          <w:r>
            <w:t>- 8 -</w:t>
          </w:r>
          <w:r>
            <w:fldChar w:fldCharType="end"/>
          </w:r>
          <w:r>
            <w:rPr>
              <w:rFonts w:hint="eastAsia" w:ascii="宋体" w:hAnsi="宋体" w:eastAsia="宋体" w:cs="宋体"/>
              <w:lang w:val="en-US" w:eastAsia="zh-CN"/>
            </w:rPr>
            <w:fldChar w:fldCharType="end"/>
          </w:r>
        </w:p>
        <w:p w14:paraId="052977A5">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_Toc10608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1.4评价范围</w:t>
          </w:r>
          <w:r>
            <w:tab/>
          </w:r>
          <w:r>
            <w:fldChar w:fldCharType="begin"/>
          </w:r>
          <w:r>
            <w:instrText xml:space="preserve"> PAGEREF _Toc10608 \h </w:instrText>
          </w:r>
          <w:r>
            <w:fldChar w:fldCharType="separate"/>
          </w:r>
          <w:r>
            <w:t>- 9 -</w:t>
          </w:r>
          <w:r>
            <w:fldChar w:fldCharType="end"/>
          </w:r>
          <w:r>
            <w:rPr>
              <w:rFonts w:hint="eastAsia" w:ascii="宋体" w:hAnsi="宋体" w:eastAsia="宋体" w:cs="宋体"/>
              <w:lang w:val="en-US" w:eastAsia="zh-CN"/>
            </w:rPr>
            <w:fldChar w:fldCharType="end"/>
          </w:r>
        </w:p>
        <w:p w14:paraId="00723DD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_Toc22619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1.5评价程序</w:t>
          </w:r>
          <w:r>
            <w:tab/>
          </w:r>
          <w:r>
            <w:fldChar w:fldCharType="begin"/>
          </w:r>
          <w:r>
            <w:instrText xml:space="preserve"> PAGEREF _Toc22619 \h </w:instrText>
          </w:r>
          <w:r>
            <w:fldChar w:fldCharType="separate"/>
          </w:r>
          <w:r>
            <w:t>- 9 -</w:t>
          </w:r>
          <w:r>
            <w:fldChar w:fldCharType="end"/>
          </w:r>
          <w:r>
            <w:rPr>
              <w:rFonts w:hint="eastAsia" w:ascii="宋体" w:hAnsi="宋体" w:eastAsia="宋体" w:cs="宋体"/>
              <w:lang w:val="en-US" w:eastAsia="zh-CN"/>
            </w:rPr>
            <w:fldChar w:fldCharType="end"/>
          </w:r>
        </w:p>
        <w:p w14:paraId="0754AAA5">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_Toc7591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1.6评价基准日</w:t>
          </w:r>
          <w:r>
            <w:tab/>
          </w:r>
          <w:r>
            <w:fldChar w:fldCharType="begin"/>
          </w:r>
          <w:r>
            <w:instrText xml:space="preserve"> PAGEREF _Toc7591 \h </w:instrText>
          </w:r>
          <w:r>
            <w:fldChar w:fldCharType="separate"/>
          </w:r>
          <w:r>
            <w:t>- 9 -</w:t>
          </w:r>
          <w:r>
            <w:fldChar w:fldCharType="end"/>
          </w:r>
          <w:r>
            <w:rPr>
              <w:rFonts w:hint="eastAsia" w:ascii="宋体" w:hAnsi="宋体" w:eastAsia="宋体" w:cs="宋体"/>
              <w:lang w:val="en-US" w:eastAsia="zh-CN"/>
            </w:rPr>
            <w:fldChar w:fldCharType="end"/>
          </w:r>
        </w:p>
        <w:p w14:paraId="737EC961">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_Toc27402 </w:instrText>
          </w:r>
          <w:r>
            <w:rPr>
              <w:rFonts w:hint="eastAsia" w:ascii="宋体" w:hAnsi="宋体" w:eastAsia="宋体" w:cs="宋体"/>
              <w:lang w:val="en-US" w:eastAsia="zh-CN"/>
            </w:rPr>
            <w:fldChar w:fldCharType="separate"/>
          </w:r>
          <w:r>
            <w:rPr>
              <w:rFonts w:hint="eastAsia" w:ascii="宋体" w:hAnsi="宋体" w:eastAsia="宋体" w:cs="宋体"/>
              <w:szCs w:val="44"/>
              <w:lang w:val="en-US" w:eastAsia="zh-CN"/>
            </w:rPr>
            <w:t>第2章 评价项目概况</w:t>
          </w:r>
          <w:r>
            <w:tab/>
          </w:r>
          <w:r>
            <w:fldChar w:fldCharType="begin"/>
          </w:r>
          <w:r>
            <w:instrText xml:space="preserve"> PAGEREF _Toc27402 \h </w:instrText>
          </w:r>
          <w:r>
            <w:fldChar w:fldCharType="separate"/>
          </w:r>
          <w:r>
            <w:t>- 10 -</w:t>
          </w:r>
          <w:r>
            <w:fldChar w:fldCharType="end"/>
          </w:r>
          <w:r>
            <w:rPr>
              <w:rFonts w:hint="eastAsia" w:ascii="宋体" w:hAnsi="宋体" w:eastAsia="宋体" w:cs="宋体"/>
              <w:lang w:val="en-US" w:eastAsia="zh-CN"/>
            </w:rPr>
            <w:fldChar w:fldCharType="end"/>
          </w:r>
        </w:p>
        <w:p w14:paraId="795E5051">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_Toc12478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2.1加油站概况</w:t>
          </w:r>
          <w:r>
            <w:tab/>
          </w:r>
          <w:r>
            <w:fldChar w:fldCharType="begin"/>
          </w:r>
          <w:r>
            <w:instrText xml:space="preserve"> PAGEREF _Toc12478 \h </w:instrText>
          </w:r>
          <w:r>
            <w:fldChar w:fldCharType="separate"/>
          </w:r>
          <w:r>
            <w:t>- 11 -</w:t>
          </w:r>
          <w:r>
            <w:fldChar w:fldCharType="end"/>
          </w:r>
          <w:r>
            <w:rPr>
              <w:rFonts w:hint="eastAsia" w:ascii="宋体" w:hAnsi="宋体" w:eastAsia="宋体" w:cs="宋体"/>
              <w:lang w:val="en-US" w:eastAsia="zh-CN"/>
            </w:rPr>
            <w:fldChar w:fldCharType="end"/>
          </w:r>
        </w:p>
        <w:p w14:paraId="1BD34D0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_Toc1269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2.1.1企业证照情况</w:t>
          </w:r>
          <w:r>
            <w:tab/>
          </w:r>
          <w:r>
            <w:fldChar w:fldCharType="begin"/>
          </w:r>
          <w:r>
            <w:instrText xml:space="preserve"> PAGEREF _Toc1269 \h </w:instrText>
          </w:r>
          <w:r>
            <w:fldChar w:fldCharType="separate"/>
          </w:r>
          <w:r>
            <w:t>- 11 -</w:t>
          </w:r>
          <w:r>
            <w:fldChar w:fldCharType="end"/>
          </w:r>
          <w:r>
            <w:rPr>
              <w:rFonts w:hint="eastAsia" w:ascii="宋体" w:hAnsi="宋体" w:eastAsia="宋体" w:cs="宋体"/>
              <w:lang w:val="en-US" w:eastAsia="zh-CN"/>
            </w:rPr>
            <w:fldChar w:fldCharType="end"/>
          </w:r>
        </w:p>
        <w:p w14:paraId="03DCA205">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_Toc19337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2.2站址自然条件</w:t>
          </w:r>
          <w:r>
            <w:tab/>
          </w:r>
          <w:r>
            <w:fldChar w:fldCharType="begin"/>
          </w:r>
          <w:r>
            <w:instrText xml:space="preserve"> PAGEREF _Toc19337 \h </w:instrText>
          </w:r>
          <w:r>
            <w:fldChar w:fldCharType="separate"/>
          </w:r>
          <w:r>
            <w:t>- 12 -</w:t>
          </w:r>
          <w:r>
            <w:fldChar w:fldCharType="end"/>
          </w:r>
          <w:r>
            <w:rPr>
              <w:rFonts w:hint="eastAsia" w:ascii="宋体" w:hAnsi="宋体" w:eastAsia="宋体" w:cs="宋体"/>
              <w:lang w:val="en-US" w:eastAsia="zh-CN"/>
            </w:rPr>
            <w:fldChar w:fldCharType="end"/>
          </w:r>
        </w:p>
        <w:p w14:paraId="1E94CC4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_Toc21656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2.2.1地理位置及交通</w:t>
          </w:r>
          <w:r>
            <w:tab/>
          </w:r>
          <w:r>
            <w:fldChar w:fldCharType="begin"/>
          </w:r>
          <w:r>
            <w:instrText xml:space="preserve"> PAGEREF _Toc21656 \h </w:instrText>
          </w:r>
          <w:r>
            <w:fldChar w:fldCharType="separate"/>
          </w:r>
          <w:r>
            <w:t>- 12 -</w:t>
          </w:r>
          <w:r>
            <w:fldChar w:fldCharType="end"/>
          </w:r>
          <w:r>
            <w:rPr>
              <w:rFonts w:hint="eastAsia" w:ascii="宋体" w:hAnsi="宋体" w:eastAsia="宋体" w:cs="宋体"/>
              <w:lang w:val="en-US" w:eastAsia="zh-CN"/>
            </w:rPr>
            <w:fldChar w:fldCharType="end"/>
          </w:r>
        </w:p>
        <w:p w14:paraId="38DF52A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_Toc28600 </w:instrText>
          </w:r>
          <w:r>
            <w:rPr>
              <w:rFonts w:hint="eastAsia" w:ascii="宋体" w:hAnsi="宋体" w:eastAsia="宋体" w:cs="宋体"/>
              <w:lang w:val="en-US" w:eastAsia="zh-CN"/>
            </w:rPr>
            <w:fldChar w:fldCharType="separate"/>
          </w:r>
          <w:r>
            <w:rPr>
              <w:rFonts w:hint="eastAsia" w:ascii="宋体" w:hAnsi="宋体" w:eastAsia="宋体" w:cs="宋体"/>
              <w:szCs w:val="30"/>
              <w:shd w:val="clear" w:color="auto" w:fill="auto"/>
              <w:lang w:val="en-US" w:eastAsia="zh-CN"/>
            </w:rPr>
            <w:t>2.2.2周边环境</w:t>
          </w:r>
          <w:r>
            <w:tab/>
          </w:r>
          <w:r>
            <w:fldChar w:fldCharType="begin"/>
          </w:r>
          <w:r>
            <w:instrText xml:space="preserve"> PAGEREF _Toc28600 \h </w:instrText>
          </w:r>
          <w:r>
            <w:fldChar w:fldCharType="separate"/>
          </w:r>
          <w:r>
            <w:t>- 13 -</w:t>
          </w:r>
          <w:r>
            <w:fldChar w:fldCharType="end"/>
          </w:r>
          <w:r>
            <w:rPr>
              <w:rFonts w:hint="eastAsia" w:ascii="宋体" w:hAnsi="宋体" w:eastAsia="宋体" w:cs="宋体"/>
              <w:lang w:val="en-US" w:eastAsia="zh-CN"/>
            </w:rPr>
            <w:fldChar w:fldCharType="end"/>
          </w:r>
        </w:p>
        <w:p w14:paraId="5925DCB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_Toc21856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2.2.3地形、地貌和地质条件</w:t>
          </w:r>
          <w:r>
            <w:tab/>
          </w:r>
          <w:r>
            <w:fldChar w:fldCharType="begin"/>
          </w:r>
          <w:r>
            <w:instrText xml:space="preserve"> PAGEREF _Toc21856 \h </w:instrText>
          </w:r>
          <w:r>
            <w:fldChar w:fldCharType="separate"/>
          </w:r>
          <w:r>
            <w:t>- 16 -</w:t>
          </w:r>
          <w:r>
            <w:fldChar w:fldCharType="end"/>
          </w:r>
          <w:r>
            <w:rPr>
              <w:rFonts w:hint="eastAsia" w:ascii="宋体" w:hAnsi="宋体" w:eastAsia="宋体" w:cs="宋体"/>
              <w:lang w:val="en-US" w:eastAsia="zh-CN"/>
            </w:rPr>
            <w:fldChar w:fldCharType="end"/>
          </w:r>
        </w:p>
        <w:p w14:paraId="684055DE">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_Toc12675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2.3平面布置及建筑结构</w:t>
          </w:r>
          <w:r>
            <w:tab/>
          </w:r>
          <w:r>
            <w:fldChar w:fldCharType="begin"/>
          </w:r>
          <w:r>
            <w:instrText xml:space="preserve"> PAGEREF _Toc12675 \h </w:instrText>
          </w:r>
          <w:r>
            <w:fldChar w:fldCharType="separate"/>
          </w:r>
          <w:r>
            <w:t>- 17 -</w:t>
          </w:r>
          <w:r>
            <w:fldChar w:fldCharType="end"/>
          </w:r>
          <w:r>
            <w:rPr>
              <w:rFonts w:hint="eastAsia" w:ascii="宋体" w:hAnsi="宋体" w:eastAsia="宋体" w:cs="宋体"/>
              <w:lang w:val="en-US" w:eastAsia="zh-CN"/>
            </w:rPr>
            <w:fldChar w:fldCharType="end"/>
          </w:r>
        </w:p>
        <w:p w14:paraId="4426C766">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_Toc7990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2.4工艺流程和主要安全设备设施</w:t>
          </w:r>
          <w:r>
            <w:tab/>
          </w:r>
          <w:r>
            <w:fldChar w:fldCharType="begin"/>
          </w:r>
          <w:r>
            <w:instrText xml:space="preserve"> PAGEREF _Toc7990 \h </w:instrText>
          </w:r>
          <w:r>
            <w:fldChar w:fldCharType="separate"/>
          </w:r>
          <w:r>
            <w:t>- 20 -</w:t>
          </w:r>
          <w:r>
            <w:fldChar w:fldCharType="end"/>
          </w:r>
          <w:r>
            <w:rPr>
              <w:rFonts w:hint="eastAsia" w:ascii="宋体" w:hAnsi="宋体" w:eastAsia="宋体" w:cs="宋体"/>
              <w:lang w:val="en-US" w:eastAsia="zh-CN"/>
            </w:rPr>
            <w:fldChar w:fldCharType="end"/>
          </w:r>
        </w:p>
        <w:p w14:paraId="687A38B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_Toc4984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4</w:t>
          </w:r>
          <w:r>
            <w:rPr>
              <w:rFonts w:hint="eastAsia" w:ascii="宋体" w:hAnsi="宋体" w:eastAsia="宋体" w:cs="宋体"/>
              <w:kern w:val="3"/>
              <w:szCs w:val="30"/>
            </w:rPr>
            <w:t>.1加油和卸油工艺</w:t>
          </w:r>
          <w:r>
            <w:tab/>
          </w:r>
          <w:r>
            <w:fldChar w:fldCharType="begin"/>
          </w:r>
          <w:r>
            <w:instrText xml:space="preserve"> PAGEREF _Toc4984 \h </w:instrText>
          </w:r>
          <w:r>
            <w:fldChar w:fldCharType="separate"/>
          </w:r>
          <w:r>
            <w:t>- 20 -</w:t>
          </w:r>
          <w:r>
            <w:fldChar w:fldCharType="end"/>
          </w:r>
          <w:r>
            <w:rPr>
              <w:rFonts w:hint="eastAsia" w:ascii="宋体" w:hAnsi="宋体" w:eastAsia="宋体" w:cs="宋体"/>
              <w:lang w:val="en-US" w:eastAsia="zh-CN"/>
            </w:rPr>
            <w:fldChar w:fldCharType="end"/>
          </w:r>
        </w:p>
        <w:p w14:paraId="2884817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_Toc29592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4</w:t>
          </w:r>
          <w:r>
            <w:rPr>
              <w:rFonts w:hint="eastAsia" w:ascii="宋体" w:hAnsi="宋体" w:eastAsia="宋体" w:cs="宋体"/>
              <w:kern w:val="3"/>
              <w:szCs w:val="30"/>
            </w:rPr>
            <w:t>.2油气回收工艺</w:t>
          </w:r>
          <w:r>
            <w:tab/>
          </w:r>
          <w:r>
            <w:fldChar w:fldCharType="begin"/>
          </w:r>
          <w:r>
            <w:instrText xml:space="preserve"> PAGEREF _Toc29592 \h </w:instrText>
          </w:r>
          <w:r>
            <w:fldChar w:fldCharType="separate"/>
          </w:r>
          <w:r>
            <w:t>- 21 -</w:t>
          </w:r>
          <w:r>
            <w:fldChar w:fldCharType="end"/>
          </w:r>
          <w:r>
            <w:rPr>
              <w:rFonts w:hint="eastAsia" w:ascii="宋体" w:hAnsi="宋体" w:eastAsia="宋体" w:cs="宋体"/>
              <w:lang w:val="en-US" w:eastAsia="zh-CN"/>
            </w:rPr>
            <w:fldChar w:fldCharType="end"/>
          </w:r>
        </w:p>
        <w:p w14:paraId="25D4494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_Toc32179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4</w:t>
          </w:r>
          <w:r>
            <w:rPr>
              <w:rFonts w:hint="eastAsia" w:ascii="宋体" w:hAnsi="宋体" w:eastAsia="宋体" w:cs="宋体"/>
              <w:kern w:val="3"/>
              <w:szCs w:val="30"/>
            </w:rPr>
            <w:t>.3计量工艺</w:t>
          </w:r>
          <w:r>
            <w:tab/>
          </w:r>
          <w:r>
            <w:fldChar w:fldCharType="begin"/>
          </w:r>
          <w:r>
            <w:instrText xml:space="preserve"> PAGEREF _Toc32179 \h </w:instrText>
          </w:r>
          <w:r>
            <w:fldChar w:fldCharType="separate"/>
          </w:r>
          <w:r>
            <w:t>- 22 -</w:t>
          </w:r>
          <w:r>
            <w:fldChar w:fldCharType="end"/>
          </w:r>
          <w:r>
            <w:rPr>
              <w:rFonts w:hint="eastAsia" w:ascii="宋体" w:hAnsi="宋体" w:eastAsia="宋体" w:cs="宋体"/>
              <w:lang w:val="en-US" w:eastAsia="zh-CN"/>
            </w:rPr>
            <w:fldChar w:fldCharType="end"/>
          </w:r>
        </w:p>
        <w:p w14:paraId="7AA1039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_Toc31836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4</w:t>
          </w:r>
          <w:r>
            <w:rPr>
              <w:rFonts w:hint="eastAsia" w:ascii="宋体" w:hAnsi="宋体" w:eastAsia="宋体" w:cs="宋体"/>
              <w:kern w:val="3"/>
              <w:szCs w:val="30"/>
            </w:rPr>
            <w:t>.4工艺管道</w:t>
          </w:r>
          <w:r>
            <w:tab/>
          </w:r>
          <w:r>
            <w:fldChar w:fldCharType="begin"/>
          </w:r>
          <w:r>
            <w:instrText xml:space="preserve"> PAGEREF _Toc31836 \h </w:instrText>
          </w:r>
          <w:r>
            <w:fldChar w:fldCharType="separate"/>
          </w:r>
          <w:r>
            <w:t>- 22 -</w:t>
          </w:r>
          <w:r>
            <w:fldChar w:fldCharType="end"/>
          </w:r>
          <w:r>
            <w:rPr>
              <w:rFonts w:hint="eastAsia" w:ascii="宋体" w:hAnsi="宋体" w:eastAsia="宋体" w:cs="宋体"/>
              <w:lang w:val="en-US" w:eastAsia="zh-CN"/>
            </w:rPr>
            <w:fldChar w:fldCharType="end"/>
          </w:r>
        </w:p>
        <w:p w14:paraId="145F956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_Toc5152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2.4.5主要安全设备和设施</w:t>
          </w:r>
          <w:r>
            <w:tab/>
          </w:r>
          <w:r>
            <w:fldChar w:fldCharType="begin"/>
          </w:r>
          <w:r>
            <w:instrText xml:space="preserve"> PAGEREF _Toc5152 \h </w:instrText>
          </w:r>
          <w:r>
            <w:fldChar w:fldCharType="separate"/>
          </w:r>
          <w:r>
            <w:t>- 23 -</w:t>
          </w:r>
          <w:r>
            <w:fldChar w:fldCharType="end"/>
          </w:r>
          <w:r>
            <w:rPr>
              <w:rFonts w:hint="eastAsia" w:ascii="宋体" w:hAnsi="宋体" w:eastAsia="宋体" w:cs="宋体"/>
              <w:lang w:val="en-US" w:eastAsia="zh-CN"/>
            </w:rPr>
            <w:fldChar w:fldCharType="end"/>
          </w:r>
        </w:p>
        <w:p w14:paraId="505AC3E4">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_Toc4486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2.5公辅设施</w:t>
          </w:r>
          <w:r>
            <w:tab/>
          </w:r>
          <w:r>
            <w:fldChar w:fldCharType="begin"/>
          </w:r>
          <w:r>
            <w:instrText xml:space="preserve"> PAGEREF _Toc4486 \h </w:instrText>
          </w:r>
          <w:r>
            <w:fldChar w:fldCharType="separate"/>
          </w:r>
          <w:r>
            <w:t>- 23 -</w:t>
          </w:r>
          <w:r>
            <w:fldChar w:fldCharType="end"/>
          </w:r>
          <w:r>
            <w:rPr>
              <w:rFonts w:hint="eastAsia" w:ascii="宋体" w:hAnsi="宋体" w:eastAsia="宋体" w:cs="宋体"/>
              <w:lang w:val="en-US" w:eastAsia="zh-CN"/>
            </w:rPr>
            <w:fldChar w:fldCharType="end"/>
          </w:r>
        </w:p>
        <w:p w14:paraId="6E19EB2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_Toc2925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2.5.1供配电</w:t>
          </w:r>
          <w:r>
            <w:tab/>
          </w:r>
          <w:r>
            <w:fldChar w:fldCharType="begin"/>
          </w:r>
          <w:r>
            <w:instrText xml:space="preserve"> PAGEREF _Toc2925 \h </w:instrText>
          </w:r>
          <w:r>
            <w:fldChar w:fldCharType="separate"/>
          </w:r>
          <w:r>
            <w:t>- 23 -</w:t>
          </w:r>
          <w:r>
            <w:fldChar w:fldCharType="end"/>
          </w:r>
          <w:r>
            <w:rPr>
              <w:rFonts w:hint="eastAsia" w:ascii="宋体" w:hAnsi="宋体" w:eastAsia="宋体" w:cs="宋体"/>
              <w:lang w:val="en-US" w:eastAsia="zh-CN"/>
            </w:rPr>
            <w:fldChar w:fldCharType="end"/>
          </w:r>
        </w:p>
        <w:p w14:paraId="4327A7D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_Toc18142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2.5.</w:t>
          </w:r>
          <w:r>
            <w:rPr>
              <w:rFonts w:hint="eastAsia" w:ascii="宋体" w:hAnsi="宋体" w:cs="宋体"/>
              <w:szCs w:val="30"/>
              <w:lang w:val="en-US" w:eastAsia="zh-CN"/>
            </w:rPr>
            <w:t>2给排水</w:t>
          </w:r>
          <w:r>
            <w:tab/>
          </w:r>
          <w:r>
            <w:fldChar w:fldCharType="begin"/>
          </w:r>
          <w:r>
            <w:instrText xml:space="preserve"> PAGEREF _Toc18142 \h </w:instrText>
          </w:r>
          <w:r>
            <w:fldChar w:fldCharType="separate"/>
          </w:r>
          <w:r>
            <w:t>- 24 -</w:t>
          </w:r>
          <w:r>
            <w:fldChar w:fldCharType="end"/>
          </w:r>
          <w:r>
            <w:rPr>
              <w:rFonts w:hint="eastAsia" w:ascii="宋体" w:hAnsi="宋体" w:eastAsia="宋体" w:cs="宋体"/>
              <w:lang w:val="en-US" w:eastAsia="zh-CN"/>
            </w:rPr>
            <w:fldChar w:fldCharType="end"/>
          </w:r>
        </w:p>
        <w:p w14:paraId="4E06590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_Toc23247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5</w:t>
          </w:r>
          <w:r>
            <w:rPr>
              <w:rFonts w:hint="eastAsia" w:ascii="宋体" w:hAnsi="宋体" w:eastAsia="宋体" w:cs="宋体"/>
              <w:kern w:val="3"/>
              <w:szCs w:val="30"/>
            </w:rPr>
            <w:t>.3防雷防静电</w:t>
          </w:r>
          <w:r>
            <w:tab/>
          </w:r>
          <w:r>
            <w:fldChar w:fldCharType="begin"/>
          </w:r>
          <w:r>
            <w:instrText xml:space="preserve"> PAGEREF _Toc23247 \h </w:instrText>
          </w:r>
          <w:r>
            <w:fldChar w:fldCharType="separate"/>
          </w:r>
          <w:r>
            <w:t>- 24 -</w:t>
          </w:r>
          <w:r>
            <w:fldChar w:fldCharType="end"/>
          </w:r>
          <w:r>
            <w:rPr>
              <w:rFonts w:hint="eastAsia" w:ascii="宋体" w:hAnsi="宋体" w:eastAsia="宋体" w:cs="宋体"/>
              <w:lang w:val="en-US" w:eastAsia="zh-CN"/>
            </w:rPr>
            <w:fldChar w:fldCharType="end"/>
          </w:r>
        </w:p>
        <w:p w14:paraId="5ADDC473">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_Toc18214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2.6安全设施及安全投入</w:t>
          </w:r>
          <w:r>
            <w:tab/>
          </w:r>
          <w:r>
            <w:fldChar w:fldCharType="begin"/>
          </w:r>
          <w:r>
            <w:instrText xml:space="preserve"> PAGEREF _Toc18214 \h </w:instrText>
          </w:r>
          <w:r>
            <w:fldChar w:fldCharType="separate"/>
          </w:r>
          <w:r>
            <w:t>- 25 -</w:t>
          </w:r>
          <w:r>
            <w:fldChar w:fldCharType="end"/>
          </w:r>
          <w:r>
            <w:rPr>
              <w:rFonts w:hint="eastAsia" w:ascii="宋体" w:hAnsi="宋体" w:eastAsia="宋体" w:cs="宋体"/>
              <w:lang w:val="en-US" w:eastAsia="zh-CN"/>
            </w:rPr>
            <w:fldChar w:fldCharType="end"/>
          </w:r>
        </w:p>
        <w:p w14:paraId="73A5492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_Toc22739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.1油罐及卸油区安全设施</w:t>
          </w:r>
          <w:r>
            <w:tab/>
          </w:r>
          <w:r>
            <w:fldChar w:fldCharType="begin"/>
          </w:r>
          <w:r>
            <w:instrText xml:space="preserve"> PAGEREF _Toc22739 \h </w:instrText>
          </w:r>
          <w:r>
            <w:fldChar w:fldCharType="separate"/>
          </w:r>
          <w:r>
            <w:t>- 25 -</w:t>
          </w:r>
          <w:r>
            <w:fldChar w:fldCharType="end"/>
          </w:r>
          <w:r>
            <w:rPr>
              <w:rFonts w:hint="eastAsia" w:ascii="宋体" w:hAnsi="宋体" w:eastAsia="宋体" w:cs="宋体"/>
              <w:lang w:val="en-US" w:eastAsia="zh-CN"/>
            </w:rPr>
            <w:fldChar w:fldCharType="end"/>
          </w:r>
        </w:p>
        <w:p w14:paraId="0E2271F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_Toc29222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.2加油区安全设施</w:t>
          </w:r>
          <w:r>
            <w:tab/>
          </w:r>
          <w:r>
            <w:fldChar w:fldCharType="begin"/>
          </w:r>
          <w:r>
            <w:instrText xml:space="preserve"> PAGEREF _Toc29222 \h </w:instrText>
          </w:r>
          <w:r>
            <w:fldChar w:fldCharType="separate"/>
          </w:r>
          <w:r>
            <w:t>- 25 -</w:t>
          </w:r>
          <w:r>
            <w:fldChar w:fldCharType="end"/>
          </w:r>
          <w:r>
            <w:rPr>
              <w:rFonts w:hint="eastAsia" w:ascii="宋体" w:hAnsi="宋体" w:eastAsia="宋体" w:cs="宋体"/>
              <w:lang w:val="en-US" w:eastAsia="zh-CN"/>
            </w:rPr>
            <w:fldChar w:fldCharType="end"/>
          </w:r>
        </w:p>
        <w:p w14:paraId="4BF027F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_Toc973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.3消防设施</w:t>
          </w:r>
          <w:r>
            <w:tab/>
          </w:r>
          <w:r>
            <w:fldChar w:fldCharType="begin"/>
          </w:r>
          <w:r>
            <w:instrText xml:space="preserve"> PAGEREF _Toc973 \h </w:instrText>
          </w:r>
          <w:r>
            <w:fldChar w:fldCharType="separate"/>
          </w:r>
          <w:r>
            <w:t>- 26 -</w:t>
          </w:r>
          <w:r>
            <w:fldChar w:fldCharType="end"/>
          </w:r>
          <w:r>
            <w:rPr>
              <w:rFonts w:hint="eastAsia" w:ascii="宋体" w:hAnsi="宋体" w:eastAsia="宋体" w:cs="宋体"/>
              <w:lang w:val="en-US" w:eastAsia="zh-CN"/>
            </w:rPr>
            <w:fldChar w:fldCharType="end"/>
          </w:r>
        </w:p>
        <w:p w14:paraId="2BABA8E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_Toc7141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.4视频监控</w:t>
          </w:r>
          <w:r>
            <w:tab/>
          </w:r>
          <w:r>
            <w:fldChar w:fldCharType="begin"/>
          </w:r>
          <w:r>
            <w:instrText xml:space="preserve"> PAGEREF _Toc7141 \h </w:instrText>
          </w:r>
          <w:r>
            <w:fldChar w:fldCharType="separate"/>
          </w:r>
          <w:r>
            <w:t>- 27 -</w:t>
          </w:r>
          <w:r>
            <w:fldChar w:fldCharType="end"/>
          </w:r>
          <w:r>
            <w:rPr>
              <w:rFonts w:hint="eastAsia" w:ascii="宋体" w:hAnsi="宋体" w:eastAsia="宋体" w:cs="宋体"/>
              <w:lang w:val="en-US" w:eastAsia="zh-CN"/>
            </w:rPr>
            <w:fldChar w:fldCharType="end"/>
          </w:r>
        </w:p>
        <w:p w14:paraId="4A08E4D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_Toc31397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.5公辅设施安全设施</w:t>
          </w:r>
          <w:r>
            <w:tab/>
          </w:r>
          <w:r>
            <w:fldChar w:fldCharType="begin"/>
          </w:r>
          <w:r>
            <w:instrText xml:space="preserve"> PAGEREF _Toc31397 \h </w:instrText>
          </w:r>
          <w:r>
            <w:fldChar w:fldCharType="separate"/>
          </w:r>
          <w:r>
            <w:t>- 27 -</w:t>
          </w:r>
          <w:r>
            <w:fldChar w:fldCharType="end"/>
          </w:r>
          <w:r>
            <w:rPr>
              <w:rFonts w:hint="eastAsia" w:ascii="宋体" w:hAnsi="宋体" w:eastAsia="宋体" w:cs="宋体"/>
              <w:lang w:val="en-US" w:eastAsia="zh-CN"/>
            </w:rPr>
            <w:fldChar w:fldCharType="end"/>
          </w:r>
        </w:p>
        <w:p w14:paraId="42172019">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_Toc32448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.6劳动防护用品</w:t>
          </w:r>
          <w:r>
            <w:tab/>
          </w:r>
          <w:r>
            <w:fldChar w:fldCharType="begin"/>
          </w:r>
          <w:r>
            <w:instrText xml:space="preserve"> PAGEREF _Toc32448 \h </w:instrText>
          </w:r>
          <w:r>
            <w:fldChar w:fldCharType="separate"/>
          </w:r>
          <w:r>
            <w:t>- 27 -</w:t>
          </w:r>
          <w:r>
            <w:fldChar w:fldCharType="end"/>
          </w:r>
          <w:r>
            <w:rPr>
              <w:rFonts w:hint="eastAsia" w:ascii="宋体" w:hAnsi="宋体" w:eastAsia="宋体" w:cs="宋体"/>
              <w:lang w:val="en-US" w:eastAsia="zh-CN"/>
            </w:rPr>
            <w:fldChar w:fldCharType="end"/>
          </w:r>
        </w:p>
        <w:p w14:paraId="77CF7B1E">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_Toc4361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6</w:t>
          </w:r>
          <w:r>
            <w:rPr>
              <w:rFonts w:hint="eastAsia" w:ascii="宋体" w:hAnsi="宋体" w:eastAsia="宋体" w:cs="宋体"/>
              <w:kern w:val="3"/>
              <w:szCs w:val="30"/>
            </w:rPr>
            <w:t>.7加油站安全投入情况</w:t>
          </w:r>
          <w:r>
            <w:tab/>
          </w:r>
          <w:r>
            <w:fldChar w:fldCharType="begin"/>
          </w:r>
          <w:r>
            <w:instrText xml:space="preserve"> PAGEREF _Toc4361 \h </w:instrText>
          </w:r>
          <w:r>
            <w:fldChar w:fldCharType="separate"/>
          </w:r>
          <w:r>
            <w:t>- 27 -</w:t>
          </w:r>
          <w:r>
            <w:fldChar w:fldCharType="end"/>
          </w:r>
          <w:r>
            <w:rPr>
              <w:rFonts w:hint="eastAsia" w:ascii="宋体" w:hAnsi="宋体" w:eastAsia="宋体" w:cs="宋体"/>
              <w:lang w:val="en-US" w:eastAsia="zh-CN"/>
            </w:rPr>
            <w:fldChar w:fldCharType="end"/>
          </w:r>
        </w:p>
        <w:p w14:paraId="5E5A70DF">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_Toc16205 </w:instrText>
          </w:r>
          <w:r>
            <w:rPr>
              <w:rFonts w:hint="eastAsia" w:ascii="宋体" w:hAnsi="宋体" w:eastAsia="宋体" w:cs="宋体"/>
              <w:lang w:val="en-US" w:eastAsia="zh-CN"/>
            </w:rPr>
            <w:fldChar w:fldCharType="separate"/>
          </w:r>
          <w:r>
            <w:rPr>
              <w:rFonts w:hint="eastAsia" w:ascii="宋体" w:hAnsi="宋体" w:eastAsia="宋体" w:cs="宋体"/>
              <w:kern w:val="3"/>
              <w:szCs w:val="32"/>
            </w:rPr>
            <w:t>2.</w:t>
          </w:r>
          <w:r>
            <w:rPr>
              <w:rFonts w:hint="eastAsia" w:ascii="宋体" w:hAnsi="宋体" w:eastAsia="宋体" w:cs="宋体"/>
              <w:kern w:val="3"/>
              <w:szCs w:val="32"/>
              <w:lang w:val="en-US" w:eastAsia="zh-CN"/>
            </w:rPr>
            <w:t>7</w:t>
          </w:r>
          <w:r>
            <w:rPr>
              <w:rFonts w:hint="eastAsia" w:ascii="宋体" w:hAnsi="宋体" w:eastAsia="宋体" w:cs="宋体"/>
              <w:kern w:val="3"/>
              <w:szCs w:val="32"/>
            </w:rPr>
            <w:t>安全管理组织及制度</w:t>
          </w:r>
          <w:r>
            <w:tab/>
          </w:r>
          <w:r>
            <w:fldChar w:fldCharType="begin"/>
          </w:r>
          <w:r>
            <w:instrText xml:space="preserve"> PAGEREF _Toc16205 \h </w:instrText>
          </w:r>
          <w:r>
            <w:fldChar w:fldCharType="separate"/>
          </w:r>
          <w:r>
            <w:t>- 28 -</w:t>
          </w:r>
          <w:r>
            <w:fldChar w:fldCharType="end"/>
          </w:r>
          <w:r>
            <w:rPr>
              <w:rFonts w:hint="eastAsia" w:ascii="宋体" w:hAnsi="宋体" w:eastAsia="宋体" w:cs="宋体"/>
              <w:lang w:val="en-US" w:eastAsia="zh-CN"/>
            </w:rPr>
            <w:fldChar w:fldCharType="end"/>
          </w:r>
        </w:p>
        <w:p w14:paraId="6B175365">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_Toc602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7</w:t>
          </w:r>
          <w:r>
            <w:rPr>
              <w:rFonts w:hint="eastAsia" w:ascii="宋体" w:hAnsi="宋体" w:eastAsia="宋体" w:cs="宋体"/>
              <w:kern w:val="3"/>
              <w:szCs w:val="30"/>
            </w:rPr>
            <w:t>.1工作制度与劳动定员</w:t>
          </w:r>
          <w:r>
            <w:tab/>
          </w:r>
          <w:r>
            <w:fldChar w:fldCharType="begin"/>
          </w:r>
          <w:r>
            <w:instrText xml:space="preserve"> PAGEREF _Toc602 \h </w:instrText>
          </w:r>
          <w:r>
            <w:fldChar w:fldCharType="separate"/>
          </w:r>
          <w:r>
            <w:t>- 28 -</w:t>
          </w:r>
          <w:r>
            <w:fldChar w:fldCharType="end"/>
          </w:r>
          <w:r>
            <w:rPr>
              <w:rFonts w:hint="eastAsia" w:ascii="宋体" w:hAnsi="宋体" w:eastAsia="宋体" w:cs="宋体"/>
              <w:lang w:val="en-US" w:eastAsia="zh-CN"/>
            </w:rPr>
            <w:fldChar w:fldCharType="end"/>
          </w:r>
        </w:p>
        <w:p w14:paraId="0CC2F77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_Toc6173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7</w:t>
          </w:r>
          <w:r>
            <w:rPr>
              <w:rFonts w:hint="eastAsia" w:ascii="宋体" w:hAnsi="宋体" w:eastAsia="宋体" w:cs="宋体"/>
              <w:kern w:val="3"/>
              <w:szCs w:val="30"/>
            </w:rPr>
            <w:t>.2安全生产管理机构及管理制度</w:t>
          </w:r>
          <w:r>
            <w:tab/>
          </w:r>
          <w:r>
            <w:fldChar w:fldCharType="begin"/>
          </w:r>
          <w:r>
            <w:instrText xml:space="preserve"> PAGEREF _Toc6173 \h </w:instrText>
          </w:r>
          <w:r>
            <w:fldChar w:fldCharType="separate"/>
          </w:r>
          <w:r>
            <w:t>- 28 -</w:t>
          </w:r>
          <w:r>
            <w:fldChar w:fldCharType="end"/>
          </w:r>
          <w:r>
            <w:rPr>
              <w:rFonts w:hint="eastAsia" w:ascii="宋体" w:hAnsi="宋体" w:eastAsia="宋体" w:cs="宋体"/>
              <w:lang w:val="en-US" w:eastAsia="zh-CN"/>
            </w:rPr>
            <w:fldChar w:fldCharType="end"/>
          </w:r>
        </w:p>
        <w:p w14:paraId="0A7BA2A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_Toc8390 </w:instrText>
          </w:r>
          <w:r>
            <w:rPr>
              <w:rFonts w:hint="eastAsia" w:ascii="宋体" w:hAnsi="宋体" w:eastAsia="宋体" w:cs="宋体"/>
              <w:lang w:val="en-US" w:eastAsia="zh-CN"/>
            </w:rPr>
            <w:fldChar w:fldCharType="separate"/>
          </w:r>
          <w:r>
            <w:rPr>
              <w:rFonts w:hint="eastAsia" w:ascii="宋体" w:hAnsi="宋体" w:eastAsia="宋体" w:cs="宋体"/>
              <w:kern w:val="3"/>
              <w:szCs w:val="30"/>
            </w:rPr>
            <w:t>2.</w:t>
          </w:r>
          <w:r>
            <w:rPr>
              <w:rFonts w:hint="eastAsia" w:ascii="宋体" w:hAnsi="宋体" w:eastAsia="宋体" w:cs="宋体"/>
              <w:kern w:val="3"/>
              <w:szCs w:val="30"/>
              <w:lang w:val="en-US" w:eastAsia="zh-CN"/>
            </w:rPr>
            <w:t>7</w:t>
          </w:r>
          <w:r>
            <w:rPr>
              <w:rFonts w:hint="eastAsia" w:ascii="宋体" w:hAnsi="宋体" w:eastAsia="宋体" w:cs="宋体"/>
              <w:kern w:val="3"/>
              <w:szCs w:val="30"/>
            </w:rPr>
            <w:t>.3应急救援预案</w:t>
          </w:r>
          <w:r>
            <w:tab/>
          </w:r>
          <w:r>
            <w:fldChar w:fldCharType="begin"/>
          </w:r>
          <w:r>
            <w:instrText xml:space="preserve"> PAGEREF _Toc8390 \h </w:instrText>
          </w:r>
          <w:r>
            <w:fldChar w:fldCharType="separate"/>
          </w:r>
          <w:r>
            <w:t>- 29 -</w:t>
          </w:r>
          <w:r>
            <w:fldChar w:fldCharType="end"/>
          </w:r>
          <w:r>
            <w:rPr>
              <w:rFonts w:hint="eastAsia" w:ascii="宋体" w:hAnsi="宋体" w:eastAsia="宋体" w:cs="宋体"/>
              <w:lang w:val="en-US" w:eastAsia="zh-CN"/>
            </w:rPr>
            <w:fldChar w:fldCharType="end"/>
          </w:r>
        </w:p>
        <w:p w14:paraId="561B9539">
          <w:pPr>
            <w:pStyle w:val="9"/>
            <w:tabs>
              <w:tab w:val="right" w:leader="dot" w:pos="9185"/>
            </w:tabs>
            <w:rPr>
              <w:rFonts w:hint="eastAsia" w:ascii="宋体" w:hAnsi="宋体" w:eastAsia="宋体" w:cs="宋体"/>
              <w:lang w:val="en-US" w:eastAsia="zh-CN"/>
            </w:rPr>
            <w:sectPr>
              <w:footerReference r:id="rId5" w:type="default"/>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p>
        <w:p w14:paraId="1A2A420B">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_Toc13539 </w:instrText>
          </w:r>
          <w:r>
            <w:rPr>
              <w:rFonts w:hint="eastAsia" w:ascii="宋体" w:hAnsi="宋体" w:eastAsia="宋体" w:cs="宋体"/>
              <w:lang w:val="en-US" w:eastAsia="zh-CN"/>
            </w:rPr>
            <w:fldChar w:fldCharType="separate"/>
          </w:r>
          <w:r>
            <w:rPr>
              <w:rFonts w:hint="eastAsia" w:ascii="宋体" w:hAnsi="宋体" w:eastAsia="宋体" w:cs="宋体"/>
              <w:bCs/>
              <w:kern w:val="3"/>
              <w:szCs w:val="30"/>
            </w:rPr>
            <w:t>2.</w:t>
          </w:r>
          <w:r>
            <w:rPr>
              <w:rFonts w:hint="eastAsia" w:ascii="宋体" w:hAnsi="宋体" w:eastAsia="宋体" w:cs="宋体"/>
              <w:bCs/>
              <w:kern w:val="3"/>
              <w:szCs w:val="30"/>
              <w:lang w:val="en-US" w:eastAsia="zh-CN"/>
            </w:rPr>
            <w:t>7</w:t>
          </w:r>
          <w:r>
            <w:rPr>
              <w:rFonts w:hint="eastAsia" w:ascii="宋体" w:hAnsi="宋体" w:eastAsia="宋体" w:cs="宋体"/>
              <w:bCs/>
              <w:kern w:val="3"/>
              <w:szCs w:val="30"/>
            </w:rPr>
            <w:t>.4特殊作业情况</w:t>
          </w:r>
          <w:r>
            <w:tab/>
          </w:r>
          <w:r>
            <w:fldChar w:fldCharType="begin"/>
          </w:r>
          <w:r>
            <w:instrText xml:space="preserve"> PAGEREF _Toc13539 \h </w:instrText>
          </w:r>
          <w:r>
            <w:fldChar w:fldCharType="separate"/>
          </w:r>
          <w:r>
            <w:t>- 29 -</w:t>
          </w:r>
          <w:r>
            <w:fldChar w:fldCharType="end"/>
          </w:r>
          <w:r>
            <w:rPr>
              <w:rFonts w:hint="eastAsia" w:ascii="宋体" w:hAnsi="宋体" w:eastAsia="宋体" w:cs="宋体"/>
              <w:lang w:val="en-US" w:eastAsia="zh-CN"/>
            </w:rPr>
            <w:fldChar w:fldCharType="end"/>
          </w:r>
        </w:p>
        <w:p w14:paraId="73AF9C7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_Toc2671 </w:instrText>
          </w:r>
          <w:r>
            <w:rPr>
              <w:rFonts w:hint="eastAsia" w:ascii="宋体" w:hAnsi="宋体" w:eastAsia="宋体" w:cs="宋体"/>
              <w:lang w:val="en-US" w:eastAsia="zh-CN"/>
            </w:rPr>
            <w:fldChar w:fldCharType="separate"/>
          </w:r>
          <w:r>
            <w:rPr>
              <w:rFonts w:hint="eastAsia" w:ascii="宋体" w:hAnsi="宋体" w:eastAsia="宋体" w:cs="宋体"/>
              <w:bCs/>
              <w:kern w:val="3"/>
              <w:szCs w:val="30"/>
            </w:rPr>
            <w:t>2.</w:t>
          </w:r>
          <w:r>
            <w:rPr>
              <w:rFonts w:hint="eastAsia" w:ascii="宋体" w:hAnsi="宋体" w:eastAsia="宋体" w:cs="宋体"/>
              <w:bCs/>
              <w:kern w:val="3"/>
              <w:szCs w:val="30"/>
              <w:lang w:val="en-US" w:eastAsia="zh-CN"/>
            </w:rPr>
            <w:t>7</w:t>
          </w:r>
          <w:r>
            <w:rPr>
              <w:rFonts w:hint="eastAsia" w:ascii="宋体" w:hAnsi="宋体" w:eastAsia="宋体" w:cs="宋体"/>
              <w:bCs/>
              <w:kern w:val="3"/>
              <w:szCs w:val="30"/>
            </w:rPr>
            <w:t>.5从业人员保险及劳动保护</w:t>
          </w:r>
          <w:r>
            <w:tab/>
          </w:r>
          <w:r>
            <w:fldChar w:fldCharType="begin"/>
          </w:r>
          <w:r>
            <w:instrText xml:space="preserve"> PAGEREF _Toc2671 \h </w:instrText>
          </w:r>
          <w:r>
            <w:fldChar w:fldCharType="separate"/>
          </w:r>
          <w:r>
            <w:t>- 29 -</w:t>
          </w:r>
          <w:r>
            <w:fldChar w:fldCharType="end"/>
          </w:r>
          <w:r>
            <w:rPr>
              <w:rFonts w:hint="eastAsia" w:ascii="宋体" w:hAnsi="宋体" w:eastAsia="宋体" w:cs="宋体"/>
              <w:lang w:val="en-US" w:eastAsia="zh-CN"/>
            </w:rPr>
            <w:fldChar w:fldCharType="end"/>
          </w:r>
        </w:p>
        <w:p w14:paraId="31E2545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_Toc16272 </w:instrText>
          </w:r>
          <w:r>
            <w:rPr>
              <w:rFonts w:hint="eastAsia" w:ascii="宋体" w:hAnsi="宋体" w:eastAsia="宋体" w:cs="宋体"/>
              <w:lang w:val="en-US" w:eastAsia="zh-CN"/>
            </w:rPr>
            <w:fldChar w:fldCharType="separate"/>
          </w:r>
          <w:r>
            <w:rPr>
              <w:rFonts w:hint="eastAsia" w:ascii="宋体" w:hAnsi="宋体"/>
              <w:szCs w:val="30"/>
              <w:lang w:val="en-US" w:eastAsia="zh-CN"/>
            </w:rPr>
            <w:t>2.7.6</w:t>
          </w:r>
          <w:r>
            <w:rPr>
              <w:rFonts w:hint="eastAsia"/>
              <w:szCs w:val="30"/>
              <w:lang w:val="en-US" w:eastAsia="zh-CN"/>
            </w:rPr>
            <w:t>安全标准化</w:t>
          </w:r>
          <w:r>
            <w:tab/>
          </w:r>
          <w:r>
            <w:fldChar w:fldCharType="begin"/>
          </w:r>
          <w:r>
            <w:instrText xml:space="preserve"> PAGEREF _Toc16272 \h </w:instrText>
          </w:r>
          <w:r>
            <w:fldChar w:fldCharType="separate"/>
          </w:r>
          <w:r>
            <w:t>- 30 -</w:t>
          </w:r>
          <w:r>
            <w:fldChar w:fldCharType="end"/>
          </w:r>
          <w:r>
            <w:rPr>
              <w:rFonts w:hint="eastAsia" w:ascii="宋体" w:hAnsi="宋体" w:eastAsia="宋体" w:cs="宋体"/>
              <w:lang w:val="en-US" w:eastAsia="zh-CN"/>
            </w:rPr>
            <w:fldChar w:fldCharType="end"/>
          </w:r>
        </w:p>
        <w:p w14:paraId="3A9C8E7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_Toc31889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2.8上次取证以来的变化情况</w:t>
          </w:r>
          <w:r>
            <w:tab/>
          </w:r>
          <w:r>
            <w:fldChar w:fldCharType="begin"/>
          </w:r>
          <w:r>
            <w:instrText xml:space="preserve"> PAGEREF _Toc31889 \h </w:instrText>
          </w:r>
          <w:r>
            <w:fldChar w:fldCharType="separate"/>
          </w:r>
          <w:r>
            <w:t>- 30 -</w:t>
          </w:r>
          <w:r>
            <w:fldChar w:fldCharType="end"/>
          </w:r>
          <w:r>
            <w:rPr>
              <w:rFonts w:hint="eastAsia" w:ascii="宋体" w:hAnsi="宋体" w:eastAsia="宋体" w:cs="宋体"/>
              <w:lang w:val="en-US" w:eastAsia="zh-CN"/>
            </w:rPr>
            <w:fldChar w:fldCharType="end"/>
          </w:r>
        </w:p>
        <w:p w14:paraId="1679AEAB">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_Toc30544 </w:instrText>
          </w:r>
          <w:r>
            <w:rPr>
              <w:rFonts w:hint="eastAsia" w:ascii="宋体" w:hAnsi="宋体" w:eastAsia="宋体" w:cs="宋体"/>
              <w:lang w:val="en-US" w:eastAsia="zh-CN"/>
            </w:rPr>
            <w:fldChar w:fldCharType="separate"/>
          </w:r>
          <w:r>
            <w:rPr>
              <w:rFonts w:hint="eastAsia" w:ascii="宋体" w:hAnsi="宋体" w:eastAsia="宋体" w:cs="宋体"/>
              <w:szCs w:val="44"/>
              <w:lang w:val="en-US" w:eastAsia="zh-CN"/>
            </w:rPr>
            <w:t>第3章危险、有害因素辨识</w:t>
          </w:r>
          <w:r>
            <w:tab/>
          </w:r>
          <w:r>
            <w:fldChar w:fldCharType="begin"/>
          </w:r>
          <w:r>
            <w:instrText xml:space="preserve"> PAGEREF _Toc30544 \h </w:instrText>
          </w:r>
          <w:r>
            <w:fldChar w:fldCharType="separate"/>
          </w:r>
          <w:r>
            <w:t>- 31 -</w:t>
          </w:r>
          <w:r>
            <w:fldChar w:fldCharType="end"/>
          </w:r>
          <w:r>
            <w:rPr>
              <w:rFonts w:hint="eastAsia" w:ascii="宋体" w:hAnsi="宋体" w:eastAsia="宋体" w:cs="宋体"/>
              <w:lang w:val="en-US" w:eastAsia="zh-CN"/>
            </w:rPr>
            <w:fldChar w:fldCharType="end"/>
          </w:r>
        </w:p>
        <w:p w14:paraId="56F81F4D">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_Toc23807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3.1加油站油品危险特性分析</w:t>
          </w:r>
          <w:r>
            <w:tab/>
          </w:r>
          <w:r>
            <w:fldChar w:fldCharType="begin"/>
          </w:r>
          <w:r>
            <w:instrText xml:space="preserve"> PAGEREF _Toc23807 \h </w:instrText>
          </w:r>
          <w:r>
            <w:fldChar w:fldCharType="separate"/>
          </w:r>
          <w:r>
            <w:t>- 31 -</w:t>
          </w:r>
          <w:r>
            <w:fldChar w:fldCharType="end"/>
          </w:r>
          <w:r>
            <w:rPr>
              <w:rFonts w:hint="eastAsia" w:ascii="宋体" w:hAnsi="宋体" w:eastAsia="宋体" w:cs="宋体"/>
              <w:lang w:val="en-US" w:eastAsia="zh-CN"/>
            </w:rPr>
            <w:fldChar w:fldCharType="end"/>
          </w:r>
        </w:p>
        <w:p w14:paraId="74BA756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_Toc10397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3.1.1危险有害特性分类</w:t>
          </w:r>
          <w:r>
            <w:tab/>
          </w:r>
          <w:r>
            <w:fldChar w:fldCharType="begin"/>
          </w:r>
          <w:r>
            <w:instrText xml:space="preserve"> PAGEREF _Toc10397 \h </w:instrText>
          </w:r>
          <w:r>
            <w:fldChar w:fldCharType="separate"/>
          </w:r>
          <w:r>
            <w:t>- 31 -</w:t>
          </w:r>
          <w:r>
            <w:fldChar w:fldCharType="end"/>
          </w:r>
          <w:r>
            <w:rPr>
              <w:rFonts w:hint="eastAsia" w:ascii="宋体" w:hAnsi="宋体" w:eastAsia="宋体" w:cs="宋体"/>
              <w:lang w:val="en-US" w:eastAsia="zh-CN"/>
            </w:rPr>
            <w:fldChar w:fldCharType="end"/>
          </w:r>
        </w:p>
        <w:p w14:paraId="171EC934">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_Toc5238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3.1.2理化性质及应急处理措施</w:t>
          </w:r>
          <w:r>
            <w:tab/>
          </w:r>
          <w:r>
            <w:fldChar w:fldCharType="begin"/>
          </w:r>
          <w:r>
            <w:instrText xml:space="preserve"> PAGEREF _Toc5238 \h </w:instrText>
          </w:r>
          <w:r>
            <w:fldChar w:fldCharType="separate"/>
          </w:r>
          <w:r>
            <w:t>- 32 -</w:t>
          </w:r>
          <w:r>
            <w:fldChar w:fldCharType="end"/>
          </w:r>
          <w:r>
            <w:rPr>
              <w:rFonts w:hint="eastAsia" w:ascii="宋体" w:hAnsi="宋体" w:eastAsia="宋体" w:cs="宋体"/>
              <w:lang w:val="en-US" w:eastAsia="zh-CN"/>
            </w:rPr>
            <w:fldChar w:fldCharType="end"/>
          </w:r>
        </w:p>
        <w:p w14:paraId="68E4F06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_Toc22208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3.1.3物质的危险有害因素</w:t>
          </w:r>
          <w:r>
            <w:tab/>
          </w:r>
          <w:r>
            <w:fldChar w:fldCharType="begin"/>
          </w:r>
          <w:r>
            <w:instrText xml:space="preserve"> PAGEREF _Toc22208 \h </w:instrText>
          </w:r>
          <w:r>
            <w:fldChar w:fldCharType="separate"/>
          </w:r>
          <w:r>
            <w:t>- 35 -</w:t>
          </w:r>
          <w:r>
            <w:fldChar w:fldCharType="end"/>
          </w:r>
          <w:r>
            <w:rPr>
              <w:rFonts w:hint="eastAsia" w:ascii="宋体" w:hAnsi="宋体" w:eastAsia="宋体" w:cs="宋体"/>
              <w:lang w:val="en-US" w:eastAsia="zh-CN"/>
            </w:rPr>
            <w:fldChar w:fldCharType="end"/>
          </w:r>
        </w:p>
        <w:p w14:paraId="52EF8FB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_Toc26772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3.2站址及自然条件的危险性分析</w:t>
          </w:r>
          <w:r>
            <w:tab/>
          </w:r>
          <w:r>
            <w:fldChar w:fldCharType="begin"/>
          </w:r>
          <w:r>
            <w:instrText xml:space="preserve"> PAGEREF _Toc26772 \h </w:instrText>
          </w:r>
          <w:r>
            <w:fldChar w:fldCharType="separate"/>
          </w:r>
          <w:r>
            <w:t>- 36 -</w:t>
          </w:r>
          <w:r>
            <w:fldChar w:fldCharType="end"/>
          </w:r>
          <w:r>
            <w:rPr>
              <w:rFonts w:hint="eastAsia" w:ascii="宋体" w:hAnsi="宋体" w:eastAsia="宋体" w:cs="宋体"/>
              <w:lang w:val="en-US" w:eastAsia="zh-CN"/>
            </w:rPr>
            <w:fldChar w:fldCharType="end"/>
          </w:r>
        </w:p>
        <w:p w14:paraId="3D7AB21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_Toc10867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3.2.1站址</w:t>
          </w:r>
          <w:r>
            <w:tab/>
          </w:r>
          <w:r>
            <w:fldChar w:fldCharType="begin"/>
          </w:r>
          <w:r>
            <w:instrText xml:space="preserve"> PAGEREF _Toc10867 \h </w:instrText>
          </w:r>
          <w:r>
            <w:fldChar w:fldCharType="separate"/>
          </w:r>
          <w:r>
            <w:t>- 36 -</w:t>
          </w:r>
          <w:r>
            <w:fldChar w:fldCharType="end"/>
          </w:r>
          <w:r>
            <w:rPr>
              <w:rFonts w:hint="eastAsia" w:ascii="宋体" w:hAnsi="宋体" w:eastAsia="宋体" w:cs="宋体"/>
              <w:lang w:val="en-US" w:eastAsia="zh-CN"/>
            </w:rPr>
            <w:fldChar w:fldCharType="end"/>
          </w:r>
        </w:p>
        <w:p w14:paraId="4F7BDD75">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_Toc14963 </w:instrText>
          </w:r>
          <w:r>
            <w:rPr>
              <w:rFonts w:hint="eastAsia" w:ascii="宋体" w:hAnsi="宋体" w:eastAsia="宋体" w:cs="宋体"/>
              <w:lang w:val="en-US" w:eastAsia="zh-CN"/>
            </w:rPr>
            <w:fldChar w:fldCharType="separate"/>
          </w:r>
          <w:r>
            <w:rPr>
              <w:rFonts w:hint="eastAsia" w:ascii="宋体" w:hAnsi="宋体" w:eastAsia="宋体" w:cs="宋体"/>
              <w:shd w:val="clear" w:color="auto" w:fill="auto"/>
              <w:lang w:val="en-US" w:eastAsia="zh-CN"/>
            </w:rPr>
            <w:t>3.2.2周边环境</w:t>
          </w:r>
          <w:r>
            <w:tab/>
          </w:r>
          <w:r>
            <w:fldChar w:fldCharType="begin"/>
          </w:r>
          <w:r>
            <w:instrText xml:space="preserve"> PAGEREF _Toc14963 \h </w:instrText>
          </w:r>
          <w:r>
            <w:fldChar w:fldCharType="separate"/>
          </w:r>
          <w:r>
            <w:t>- 37 -</w:t>
          </w:r>
          <w:r>
            <w:fldChar w:fldCharType="end"/>
          </w:r>
          <w:r>
            <w:rPr>
              <w:rFonts w:hint="eastAsia" w:ascii="宋体" w:hAnsi="宋体" w:eastAsia="宋体" w:cs="宋体"/>
              <w:lang w:val="en-US" w:eastAsia="zh-CN"/>
            </w:rPr>
            <w:fldChar w:fldCharType="end"/>
          </w:r>
        </w:p>
        <w:p w14:paraId="56FB6130">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_Toc5768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3.2.3气候条件及水文</w:t>
          </w:r>
          <w:r>
            <w:tab/>
          </w:r>
          <w:r>
            <w:fldChar w:fldCharType="begin"/>
          </w:r>
          <w:r>
            <w:instrText xml:space="preserve"> PAGEREF _Toc5768 \h </w:instrText>
          </w:r>
          <w:r>
            <w:fldChar w:fldCharType="separate"/>
          </w:r>
          <w:r>
            <w:t>- 38 -</w:t>
          </w:r>
          <w:r>
            <w:fldChar w:fldCharType="end"/>
          </w:r>
          <w:r>
            <w:rPr>
              <w:rFonts w:hint="eastAsia" w:ascii="宋体" w:hAnsi="宋体" w:eastAsia="宋体" w:cs="宋体"/>
              <w:lang w:val="en-US" w:eastAsia="zh-CN"/>
            </w:rPr>
            <w:fldChar w:fldCharType="end"/>
          </w:r>
        </w:p>
        <w:p w14:paraId="3EFBD802">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_Toc30525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3.2.4小结</w:t>
          </w:r>
          <w:r>
            <w:tab/>
          </w:r>
          <w:r>
            <w:fldChar w:fldCharType="begin"/>
          </w:r>
          <w:r>
            <w:instrText xml:space="preserve"> PAGEREF _Toc30525 \h </w:instrText>
          </w:r>
          <w:r>
            <w:fldChar w:fldCharType="separate"/>
          </w:r>
          <w:r>
            <w:t>- 39 -</w:t>
          </w:r>
          <w:r>
            <w:fldChar w:fldCharType="end"/>
          </w:r>
          <w:r>
            <w:rPr>
              <w:rFonts w:hint="eastAsia" w:ascii="宋体" w:hAnsi="宋体" w:eastAsia="宋体" w:cs="宋体"/>
              <w:lang w:val="en-US" w:eastAsia="zh-CN"/>
            </w:rPr>
            <w:fldChar w:fldCharType="end"/>
          </w:r>
        </w:p>
        <w:p w14:paraId="4FD76C1B">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_Toc27319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3.3总平面布置的危险性分析</w:t>
          </w:r>
          <w:r>
            <w:tab/>
          </w:r>
          <w:r>
            <w:fldChar w:fldCharType="begin"/>
          </w:r>
          <w:r>
            <w:instrText xml:space="preserve"> PAGEREF _Toc27319 \h </w:instrText>
          </w:r>
          <w:r>
            <w:fldChar w:fldCharType="separate"/>
          </w:r>
          <w:r>
            <w:t>- 39 -</w:t>
          </w:r>
          <w:r>
            <w:fldChar w:fldCharType="end"/>
          </w:r>
          <w:r>
            <w:rPr>
              <w:rFonts w:hint="eastAsia" w:ascii="宋体" w:hAnsi="宋体" w:eastAsia="宋体" w:cs="宋体"/>
              <w:lang w:val="en-US" w:eastAsia="zh-CN"/>
            </w:rPr>
            <w:fldChar w:fldCharType="end"/>
          </w:r>
        </w:p>
        <w:p w14:paraId="31197484">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_Toc12845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3.4加油站经营场所危险性有害因素分析</w:t>
          </w:r>
          <w:r>
            <w:tab/>
          </w:r>
          <w:r>
            <w:fldChar w:fldCharType="begin"/>
          </w:r>
          <w:r>
            <w:instrText xml:space="preserve"> PAGEREF _Toc12845 \h </w:instrText>
          </w:r>
          <w:r>
            <w:fldChar w:fldCharType="separate"/>
          </w:r>
          <w:r>
            <w:t>- 40 -</w:t>
          </w:r>
          <w:r>
            <w:fldChar w:fldCharType="end"/>
          </w:r>
          <w:r>
            <w:rPr>
              <w:rFonts w:hint="eastAsia" w:ascii="宋体" w:hAnsi="宋体" w:eastAsia="宋体" w:cs="宋体"/>
              <w:lang w:val="en-US" w:eastAsia="zh-CN"/>
            </w:rPr>
            <w:fldChar w:fldCharType="end"/>
          </w:r>
        </w:p>
        <w:p w14:paraId="1972685B">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_Toc3595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3.4.1油罐、卸油区</w:t>
          </w:r>
          <w:r>
            <w:tab/>
          </w:r>
          <w:r>
            <w:fldChar w:fldCharType="begin"/>
          </w:r>
          <w:r>
            <w:instrText xml:space="preserve"> PAGEREF _Toc3595 \h </w:instrText>
          </w:r>
          <w:r>
            <w:fldChar w:fldCharType="separate"/>
          </w:r>
          <w:r>
            <w:t>- 40 -</w:t>
          </w:r>
          <w:r>
            <w:fldChar w:fldCharType="end"/>
          </w:r>
          <w:r>
            <w:rPr>
              <w:rFonts w:hint="eastAsia" w:ascii="宋体" w:hAnsi="宋体" w:eastAsia="宋体" w:cs="宋体"/>
              <w:lang w:val="en-US" w:eastAsia="zh-CN"/>
            </w:rPr>
            <w:fldChar w:fldCharType="end"/>
          </w:r>
        </w:p>
        <w:p w14:paraId="08F6FCF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_Toc23520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3.4.2加油区</w:t>
          </w:r>
          <w:r>
            <w:tab/>
          </w:r>
          <w:r>
            <w:fldChar w:fldCharType="begin"/>
          </w:r>
          <w:r>
            <w:instrText xml:space="preserve"> PAGEREF _Toc23520 \h </w:instrText>
          </w:r>
          <w:r>
            <w:fldChar w:fldCharType="separate"/>
          </w:r>
          <w:r>
            <w:t>- 44 -</w:t>
          </w:r>
          <w:r>
            <w:fldChar w:fldCharType="end"/>
          </w:r>
          <w:r>
            <w:rPr>
              <w:rFonts w:hint="eastAsia" w:ascii="宋体" w:hAnsi="宋体" w:eastAsia="宋体" w:cs="宋体"/>
              <w:lang w:val="en-US" w:eastAsia="zh-CN"/>
            </w:rPr>
            <w:fldChar w:fldCharType="end"/>
          </w:r>
        </w:p>
        <w:p w14:paraId="384DE5FA">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_Toc9603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3.4.3供配电</w:t>
          </w:r>
          <w:r>
            <w:tab/>
          </w:r>
          <w:r>
            <w:fldChar w:fldCharType="begin"/>
          </w:r>
          <w:r>
            <w:instrText xml:space="preserve"> PAGEREF _Toc9603 \h </w:instrText>
          </w:r>
          <w:r>
            <w:fldChar w:fldCharType="separate"/>
          </w:r>
          <w:r>
            <w:t>- 46 -</w:t>
          </w:r>
          <w:r>
            <w:fldChar w:fldCharType="end"/>
          </w:r>
          <w:r>
            <w:rPr>
              <w:rFonts w:hint="eastAsia" w:ascii="宋体" w:hAnsi="宋体" w:eastAsia="宋体" w:cs="宋体"/>
              <w:lang w:val="en-US" w:eastAsia="zh-CN"/>
            </w:rPr>
            <w:fldChar w:fldCharType="end"/>
          </w:r>
        </w:p>
        <w:p w14:paraId="0541B43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_Toc26850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3.4.4给排水</w:t>
          </w:r>
          <w:r>
            <w:tab/>
          </w:r>
          <w:r>
            <w:fldChar w:fldCharType="begin"/>
          </w:r>
          <w:r>
            <w:instrText xml:space="preserve"> PAGEREF _Toc26850 \h </w:instrText>
          </w:r>
          <w:r>
            <w:fldChar w:fldCharType="separate"/>
          </w:r>
          <w:r>
            <w:t>- 47 -</w:t>
          </w:r>
          <w:r>
            <w:fldChar w:fldCharType="end"/>
          </w:r>
          <w:r>
            <w:rPr>
              <w:rFonts w:hint="eastAsia" w:ascii="宋体" w:hAnsi="宋体" w:eastAsia="宋体" w:cs="宋体"/>
              <w:lang w:val="en-US" w:eastAsia="zh-CN"/>
            </w:rPr>
            <w:fldChar w:fldCharType="end"/>
          </w:r>
        </w:p>
        <w:p w14:paraId="37403741">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_Toc20702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3.5建构筑物</w:t>
          </w:r>
          <w:r>
            <w:tab/>
          </w:r>
          <w:r>
            <w:fldChar w:fldCharType="begin"/>
          </w:r>
          <w:r>
            <w:instrText xml:space="preserve"> PAGEREF _Toc20702 \h </w:instrText>
          </w:r>
          <w:r>
            <w:fldChar w:fldCharType="separate"/>
          </w:r>
          <w:r>
            <w:t>- 47 -</w:t>
          </w:r>
          <w:r>
            <w:fldChar w:fldCharType="end"/>
          </w:r>
          <w:r>
            <w:rPr>
              <w:rFonts w:hint="eastAsia" w:ascii="宋体" w:hAnsi="宋体" w:eastAsia="宋体" w:cs="宋体"/>
              <w:lang w:val="en-US" w:eastAsia="zh-CN"/>
            </w:rPr>
            <w:fldChar w:fldCharType="end"/>
          </w:r>
        </w:p>
        <w:p w14:paraId="5AB4FCB0">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_Toc2514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3.5.1火灾</w:t>
          </w:r>
          <w:r>
            <w:tab/>
          </w:r>
          <w:r>
            <w:fldChar w:fldCharType="begin"/>
          </w:r>
          <w:r>
            <w:instrText xml:space="preserve"> PAGEREF _Toc2514 \h </w:instrText>
          </w:r>
          <w:r>
            <w:fldChar w:fldCharType="separate"/>
          </w:r>
          <w:r>
            <w:t>- 47 -</w:t>
          </w:r>
          <w:r>
            <w:fldChar w:fldCharType="end"/>
          </w:r>
          <w:r>
            <w:rPr>
              <w:rFonts w:hint="eastAsia" w:ascii="宋体" w:hAnsi="宋体" w:eastAsia="宋体" w:cs="宋体"/>
              <w:lang w:val="en-US" w:eastAsia="zh-CN"/>
            </w:rPr>
            <w:fldChar w:fldCharType="end"/>
          </w:r>
        </w:p>
        <w:p w14:paraId="425CB97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_Toc13999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3.5.2坍塌</w:t>
          </w:r>
          <w:r>
            <w:tab/>
          </w:r>
          <w:r>
            <w:fldChar w:fldCharType="begin"/>
          </w:r>
          <w:r>
            <w:instrText xml:space="preserve"> PAGEREF _Toc13999 \h </w:instrText>
          </w:r>
          <w:r>
            <w:fldChar w:fldCharType="separate"/>
          </w:r>
          <w:r>
            <w:t>- 47 -</w:t>
          </w:r>
          <w:r>
            <w:fldChar w:fldCharType="end"/>
          </w:r>
          <w:r>
            <w:rPr>
              <w:rFonts w:hint="eastAsia" w:ascii="宋体" w:hAnsi="宋体" w:eastAsia="宋体" w:cs="宋体"/>
              <w:lang w:val="en-US" w:eastAsia="zh-CN"/>
            </w:rPr>
            <w:fldChar w:fldCharType="end"/>
          </w:r>
        </w:p>
        <w:p w14:paraId="5AD862FF">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_Toc27039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3.5.3高处坠落</w:t>
          </w:r>
          <w:r>
            <w:tab/>
          </w:r>
          <w:r>
            <w:fldChar w:fldCharType="begin"/>
          </w:r>
          <w:r>
            <w:instrText xml:space="preserve"> PAGEREF _Toc27039 \h </w:instrText>
          </w:r>
          <w:r>
            <w:fldChar w:fldCharType="separate"/>
          </w:r>
          <w:r>
            <w:t>- 47 -</w:t>
          </w:r>
          <w:r>
            <w:fldChar w:fldCharType="end"/>
          </w:r>
          <w:r>
            <w:rPr>
              <w:rFonts w:hint="eastAsia" w:ascii="宋体" w:hAnsi="宋体" w:eastAsia="宋体" w:cs="宋体"/>
              <w:lang w:val="en-US" w:eastAsia="zh-CN"/>
            </w:rPr>
            <w:fldChar w:fldCharType="end"/>
          </w:r>
        </w:p>
        <w:p w14:paraId="26AA336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_Toc8746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3.6人的不安全行为辨识</w:t>
          </w:r>
          <w:r>
            <w:tab/>
          </w:r>
          <w:r>
            <w:fldChar w:fldCharType="begin"/>
          </w:r>
          <w:r>
            <w:instrText xml:space="preserve"> PAGEREF _Toc8746 \h </w:instrText>
          </w:r>
          <w:r>
            <w:fldChar w:fldCharType="separate"/>
          </w:r>
          <w:r>
            <w:t>- 48 -</w:t>
          </w:r>
          <w:r>
            <w:fldChar w:fldCharType="end"/>
          </w:r>
          <w:r>
            <w:rPr>
              <w:rFonts w:hint="eastAsia" w:ascii="宋体" w:hAnsi="宋体" w:eastAsia="宋体" w:cs="宋体"/>
              <w:lang w:val="en-US" w:eastAsia="zh-CN"/>
            </w:rPr>
            <w:fldChar w:fldCharType="end"/>
          </w:r>
        </w:p>
        <w:p w14:paraId="17C0A5D2">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_Toc19109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3.6.1卸油作业</w:t>
          </w:r>
          <w:r>
            <w:tab/>
          </w:r>
          <w:r>
            <w:fldChar w:fldCharType="begin"/>
          </w:r>
          <w:r>
            <w:instrText xml:space="preserve"> PAGEREF _Toc19109 \h </w:instrText>
          </w:r>
          <w:r>
            <w:fldChar w:fldCharType="separate"/>
          </w:r>
          <w:r>
            <w:t>- 48 -</w:t>
          </w:r>
          <w:r>
            <w:fldChar w:fldCharType="end"/>
          </w:r>
          <w:r>
            <w:rPr>
              <w:rFonts w:hint="eastAsia" w:ascii="宋体" w:hAnsi="宋体" w:eastAsia="宋体" w:cs="宋体"/>
              <w:lang w:val="en-US" w:eastAsia="zh-CN"/>
            </w:rPr>
            <w:fldChar w:fldCharType="end"/>
          </w:r>
        </w:p>
        <w:p w14:paraId="09D5CEC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_Toc18511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3.6.2加油作业</w:t>
          </w:r>
          <w:r>
            <w:tab/>
          </w:r>
          <w:r>
            <w:fldChar w:fldCharType="begin"/>
          </w:r>
          <w:r>
            <w:instrText xml:space="preserve"> PAGEREF _Toc18511 \h </w:instrText>
          </w:r>
          <w:r>
            <w:fldChar w:fldCharType="separate"/>
          </w:r>
          <w:r>
            <w:t>- 49 -</w:t>
          </w:r>
          <w:r>
            <w:fldChar w:fldCharType="end"/>
          </w:r>
          <w:r>
            <w:rPr>
              <w:rFonts w:hint="eastAsia" w:ascii="宋体" w:hAnsi="宋体" w:eastAsia="宋体" w:cs="宋体"/>
              <w:lang w:val="en-US" w:eastAsia="zh-CN"/>
            </w:rPr>
            <w:fldChar w:fldCharType="end"/>
          </w:r>
        </w:p>
        <w:p w14:paraId="2E196D80">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_Toc25011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3.6.3量油作业</w:t>
          </w:r>
          <w:r>
            <w:tab/>
          </w:r>
          <w:r>
            <w:fldChar w:fldCharType="begin"/>
          </w:r>
          <w:r>
            <w:instrText xml:space="preserve"> PAGEREF _Toc25011 \h </w:instrText>
          </w:r>
          <w:r>
            <w:fldChar w:fldCharType="separate"/>
          </w:r>
          <w:r>
            <w:t>- 49 -</w:t>
          </w:r>
          <w:r>
            <w:fldChar w:fldCharType="end"/>
          </w:r>
          <w:r>
            <w:rPr>
              <w:rFonts w:hint="eastAsia" w:ascii="宋体" w:hAnsi="宋体" w:eastAsia="宋体" w:cs="宋体"/>
              <w:lang w:val="en-US" w:eastAsia="zh-CN"/>
            </w:rPr>
            <w:fldChar w:fldCharType="end"/>
          </w:r>
        </w:p>
        <w:p w14:paraId="682357DF">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_Toc14162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3.6.4特殊作业及其它检维修作业</w:t>
          </w:r>
          <w:r>
            <w:tab/>
          </w:r>
          <w:r>
            <w:fldChar w:fldCharType="begin"/>
          </w:r>
          <w:r>
            <w:instrText xml:space="preserve"> PAGEREF _Toc14162 \h </w:instrText>
          </w:r>
          <w:r>
            <w:fldChar w:fldCharType="separate"/>
          </w:r>
          <w:r>
            <w:t>- 49 -</w:t>
          </w:r>
          <w:r>
            <w:fldChar w:fldCharType="end"/>
          </w:r>
          <w:r>
            <w:rPr>
              <w:rFonts w:hint="eastAsia" w:ascii="宋体" w:hAnsi="宋体" w:eastAsia="宋体" w:cs="宋体"/>
              <w:lang w:val="en-US" w:eastAsia="zh-CN"/>
            </w:rPr>
            <w:fldChar w:fldCharType="end"/>
          </w:r>
        </w:p>
        <w:p w14:paraId="055822B6">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_Toc1601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3.7加油站防爆区域划分</w:t>
          </w:r>
          <w:r>
            <w:tab/>
          </w:r>
          <w:r>
            <w:fldChar w:fldCharType="begin"/>
          </w:r>
          <w:r>
            <w:instrText xml:space="preserve"> PAGEREF _Toc1601 \h </w:instrText>
          </w:r>
          <w:r>
            <w:fldChar w:fldCharType="separate"/>
          </w:r>
          <w:r>
            <w:t>- 50 -</w:t>
          </w:r>
          <w:r>
            <w:fldChar w:fldCharType="end"/>
          </w:r>
          <w:r>
            <w:rPr>
              <w:rFonts w:hint="eastAsia" w:ascii="宋体" w:hAnsi="宋体" w:eastAsia="宋体" w:cs="宋体"/>
              <w:lang w:val="en-US" w:eastAsia="zh-CN"/>
            </w:rPr>
            <w:fldChar w:fldCharType="end"/>
          </w:r>
        </w:p>
        <w:p w14:paraId="2D37C61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_Toc19068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3.7.1埋地卧式储罐爆炸危险区域划分</w:t>
          </w:r>
          <w:r>
            <w:tab/>
          </w:r>
          <w:r>
            <w:fldChar w:fldCharType="begin"/>
          </w:r>
          <w:r>
            <w:instrText xml:space="preserve"> PAGEREF _Toc19068 \h </w:instrText>
          </w:r>
          <w:r>
            <w:fldChar w:fldCharType="separate"/>
          </w:r>
          <w:r>
            <w:t>- 51 -</w:t>
          </w:r>
          <w:r>
            <w:fldChar w:fldCharType="end"/>
          </w:r>
          <w:r>
            <w:rPr>
              <w:rFonts w:hint="eastAsia" w:ascii="宋体" w:hAnsi="宋体" w:eastAsia="宋体" w:cs="宋体"/>
              <w:lang w:val="en-US" w:eastAsia="zh-CN"/>
            </w:rPr>
            <w:fldChar w:fldCharType="end"/>
          </w:r>
        </w:p>
        <w:p w14:paraId="07A3CE1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_Toc18787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3.7.2加油机爆炸危险区域划分</w:t>
          </w:r>
          <w:r>
            <w:tab/>
          </w:r>
          <w:r>
            <w:fldChar w:fldCharType="begin"/>
          </w:r>
          <w:r>
            <w:instrText xml:space="preserve"> PAGEREF _Toc18787 \h </w:instrText>
          </w:r>
          <w:r>
            <w:fldChar w:fldCharType="separate"/>
          </w:r>
          <w:r>
            <w:t>- 52 -</w:t>
          </w:r>
          <w:r>
            <w:fldChar w:fldCharType="end"/>
          </w:r>
          <w:r>
            <w:rPr>
              <w:rFonts w:hint="eastAsia" w:ascii="宋体" w:hAnsi="宋体" w:eastAsia="宋体" w:cs="宋体"/>
              <w:lang w:val="en-US" w:eastAsia="zh-CN"/>
            </w:rPr>
            <w:fldChar w:fldCharType="end"/>
          </w:r>
        </w:p>
        <w:p w14:paraId="7F6B516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_Toc3542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3.7.3卸油过程中的爆炸危险区域划分</w:t>
          </w:r>
          <w:r>
            <w:tab/>
          </w:r>
          <w:r>
            <w:fldChar w:fldCharType="begin"/>
          </w:r>
          <w:r>
            <w:instrText xml:space="preserve"> PAGEREF _Toc3542 \h </w:instrText>
          </w:r>
          <w:r>
            <w:fldChar w:fldCharType="separate"/>
          </w:r>
          <w:r>
            <w:t>- 53 -</w:t>
          </w:r>
          <w:r>
            <w:fldChar w:fldCharType="end"/>
          </w:r>
          <w:r>
            <w:rPr>
              <w:rFonts w:hint="eastAsia" w:ascii="宋体" w:hAnsi="宋体" w:eastAsia="宋体" w:cs="宋体"/>
              <w:lang w:val="en-US" w:eastAsia="zh-CN"/>
            </w:rPr>
            <w:fldChar w:fldCharType="end"/>
          </w:r>
        </w:p>
        <w:p w14:paraId="323105C8">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_Toc20790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3.8危险化学品重大危险源</w:t>
          </w:r>
          <w:r>
            <w:tab/>
          </w:r>
          <w:r>
            <w:fldChar w:fldCharType="begin"/>
          </w:r>
          <w:r>
            <w:instrText xml:space="preserve"> PAGEREF _Toc20790 \h </w:instrText>
          </w:r>
          <w:r>
            <w:fldChar w:fldCharType="separate"/>
          </w:r>
          <w:r>
            <w:t>- 54 -</w:t>
          </w:r>
          <w:r>
            <w:fldChar w:fldCharType="end"/>
          </w:r>
          <w:r>
            <w:rPr>
              <w:rFonts w:hint="eastAsia" w:ascii="宋体" w:hAnsi="宋体" w:eastAsia="宋体" w:cs="宋体"/>
              <w:lang w:val="en-US" w:eastAsia="zh-CN"/>
            </w:rPr>
            <w:fldChar w:fldCharType="end"/>
          </w:r>
        </w:p>
        <w:p w14:paraId="723D7A29">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_Toc6232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3.8.1辨识依据</w:t>
          </w:r>
          <w:r>
            <w:tab/>
          </w:r>
          <w:r>
            <w:fldChar w:fldCharType="begin"/>
          </w:r>
          <w:r>
            <w:instrText xml:space="preserve"> PAGEREF _Toc6232 \h </w:instrText>
          </w:r>
          <w:r>
            <w:fldChar w:fldCharType="separate"/>
          </w:r>
          <w:r>
            <w:t>- 54 -</w:t>
          </w:r>
          <w:r>
            <w:fldChar w:fldCharType="end"/>
          </w:r>
          <w:r>
            <w:rPr>
              <w:rFonts w:hint="eastAsia" w:ascii="宋体" w:hAnsi="宋体" w:eastAsia="宋体" w:cs="宋体"/>
              <w:lang w:val="en-US" w:eastAsia="zh-CN"/>
            </w:rPr>
            <w:fldChar w:fldCharType="end"/>
          </w:r>
        </w:p>
        <w:p w14:paraId="6A5F13E5">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_Toc1247 </w:instrText>
          </w:r>
          <w:r>
            <w:rPr>
              <w:rFonts w:hint="eastAsia" w:ascii="宋体" w:hAnsi="宋体" w:eastAsia="宋体" w:cs="宋体"/>
              <w:lang w:val="en-US" w:eastAsia="zh-CN"/>
            </w:rPr>
            <w:fldChar w:fldCharType="separate"/>
          </w:r>
          <w:r>
            <w:rPr>
              <w:rFonts w:hint="eastAsia" w:ascii="宋体" w:hAnsi="宋体" w:eastAsia="宋体" w:cs="宋体"/>
              <w:szCs w:val="30"/>
              <w:shd w:val="clear" w:color="auto" w:fill="auto"/>
              <w:lang w:val="en-US" w:eastAsia="zh-CN"/>
            </w:rPr>
            <w:t>3.8.2</w:t>
          </w:r>
          <w:r>
            <w:rPr>
              <w:rFonts w:hint="eastAsia" w:ascii="宋体" w:hAnsi="宋体" w:eastAsia="宋体" w:cs="宋体"/>
              <w:szCs w:val="30"/>
              <w:shd w:val="clear" w:color="auto" w:fill="auto"/>
              <w:lang w:val="pt-BR" w:eastAsia="zh-CN"/>
            </w:rPr>
            <w:t>危险化学品重大危险源辨识过程</w:t>
          </w:r>
          <w:r>
            <w:tab/>
          </w:r>
          <w:r>
            <w:fldChar w:fldCharType="begin"/>
          </w:r>
          <w:r>
            <w:instrText xml:space="preserve"> PAGEREF _Toc1247 \h </w:instrText>
          </w:r>
          <w:r>
            <w:fldChar w:fldCharType="separate"/>
          </w:r>
          <w:r>
            <w:t>- 55 -</w:t>
          </w:r>
          <w:r>
            <w:fldChar w:fldCharType="end"/>
          </w:r>
          <w:r>
            <w:rPr>
              <w:rFonts w:hint="eastAsia" w:ascii="宋体" w:hAnsi="宋体" w:eastAsia="宋体" w:cs="宋体"/>
              <w:lang w:val="en-US" w:eastAsia="zh-CN"/>
            </w:rPr>
            <w:fldChar w:fldCharType="end"/>
          </w:r>
        </w:p>
        <w:p w14:paraId="48A016B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_Toc22648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3.8.3辨识结论</w:t>
          </w:r>
          <w:r>
            <w:tab/>
          </w:r>
          <w:r>
            <w:fldChar w:fldCharType="begin"/>
          </w:r>
          <w:r>
            <w:instrText xml:space="preserve"> PAGEREF _Toc22648 \h </w:instrText>
          </w:r>
          <w:r>
            <w:fldChar w:fldCharType="separate"/>
          </w:r>
          <w:r>
            <w:t>- 56 -</w:t>
          </w:r>
          <w:r>
            <w:fldChar w:fldCharType="end"/>
          </w:r>
          <w:r>
            <w:rPr>
              <w:rFonts w:hint="eastAsia" w:ascii="宋体" w:hAnsi="宋体" w:eastAsia="宋体" w:cs="宋体"/>
              <w:lang w:val="en-US" w:eastAsia="zh-CN"/>
            </w:rPr>
            <w:fldChar w:fldCharType="end"/>
          </w:r>
        </w:p>
        <w:p w14:paraId="6604EEFB">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_Toc13649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3.9事故案例分析</w:t>
          </w:r>
          <w:r>
            <w:tab/>
          </w:r>
          <w:r>
            <w:fldChar w:fldCharType="begin"/>
          </w:r>
          <w:r>
            <w:instrText xml:space="preserve"> PAGEREF _Toc13649 \h </w:instrText>
          </w:r>
          <w:r>
            <w:fldChar w:fldCharType="separate"/>
          </w:r>
          <w:r>
            <w:t>- 56 -</w:t>
          </w:r>
          <w:r>
            <w:fldChar w:fldCharType="end"/>
          </w:r>
          <w:r>
            <w:rPr>
              <w:rFonts w:hint="eastAsia" w:ascii="宋体" w:hAnsi="宋体" w:eastAsia="宋体" w:cs="宋体"/>
              <w:lang w:val="en-US" w:eastAsia="zh-CN"/>
            </w:rPr>
            <w:fldChar w:fldCharType="end"/>
          </w:r>
        </w:p>
        <w:p w14:paraId="1A9635C4">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_Toc28236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3.9.1事故统计分析</w:t>
          </w:r>
          <w:r>
            <w:tab/>
          </w:r>
          <w:r>
            <w:fldChar w:fldCharType="begin"/>
          </w:r>
          <w:r>
            <w:instrText xml:space="preserve"> PAGEREF _Toc28236 \h </w:instrText>
          </w:r>
          <w:r>
            <w:fldChar w:fldCharType="separate"/>
          </w:r>
          <w:r>
            <w:t>- 56 -</w:t>
          </w:r>
          <w:r>
            <w:fldChar w:fldCharType="end"/>
          </w:r>
          <w:r>
            <w:rPr>
              <w:rFonts w:hint="eastAsia" w:ascii="宋体" w:hAnsi="宋体" w:eastAsia="宋体" w:cs="宋体"/>
              <w:lang w:val="en-US" w:eastAsia="zh-CN"/>
            </w:rPr>
            <w:fldChar w:fldCharType="end"/>
          </w:r>
        </w:p>
        <w:p w14:paraId="1B497AD2">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_Toc4469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3.9.2事故案例</w:t>
          </w:r>
          <w:r>
            <w:tab/>
          </w:r>
          <w:r>
            <w:fldChar w:fldCharType="begin"/>
          </w:r>
          <w:r>
            <w:instrText xml:space="preserve"> PAGEREF _Toc4469 \h </w:instrText>
          </w:r>
          <w:r>
            <w:fldChar w:fldCharType="separate"/>
          </w:r>
          <w:r>
            <w:t>- 56 -</w:t>
          </w:r>
          <w:r>
            <w:fldChar w:fldCharType="end"/>
          </w:r>
          <w:r>
            <w:rPr>
              <w:rFonts w:hint="eastAsia" w:ascii="宋体" w:hAnsi="宋体" w:eastAsia="宋体" w:cs="宋体"/>
              <w:lang w:val="en-US" w:eastAsia="zh-CN"/>
            </w:rPr>
            <w:fldChar w:fldCharType="end"/>
          </w:r>
        </w:p>
        <w:p w14:paraId="286F719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_Toc18333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3.9.3案例原因分析</w:t>
          </w:r>
          <w:r>
            <w:tab/>
          </w:r>
          <w:r>
            <w:fldChar w:fldCharType="begin"/>
          </w:r>
          <w:r>
            <w:instrText xml:space="preserve"> PAGEREF _Toc18333 \h </w:instrText>
          </w:r>
          <w:r>
            <w:fldChar w:fldCharType="separate"/>
          </w:r>
          <w:r>
            <w:t>- 57 -</w:t>
          </w:r>
          <w:r>
            <w:fldChar w:fldCharType="end"/>
          </w:r>
          <w:r>
            <w:rPr>
              <w:rFonts w:hint="eastAsia" w:ascii="宋体" w:hAnsi="宋体" w:eastAsia="宋体" w:cs="宋体"/>
              <w:lang w:val="en-US" w:eastAsia="zh-CN"/>
            </w:rPr>
            <w:fldChar w:fldCharType="end"/>
          </w:r>
        </w:p>
        <w:p w14:paraId="3AB34239">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_Toc26734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3.10本章小结</w:t>
          </w:r>
          <w:r>
            <w:tab/>
          </w:r>
          <w:r>
            <w:fldChar w:fldCharType="begin"/>
          </w:r>
          <w:r>
            <w:instrText xml:space="preserve"> PAGEREF _Toc26734 \h </w:instrText>
          </w:r>
          <w:r>
            <w:fldChar w:fldCharType="separate"/>
          </w:r>
          <w:r>
            <w:t>- 58 -</w:t>
          </w:r>
          <w:r>
            <w:fldChar w:fldCharType="end"/>
          </w:r>
          <w:r>
            <w:rPr>
              <w:rFonts w:hint="eastAsia" w:ascii="宋体" w:hAnsi="宋体" w:eastAsia="宋体" w:cs="宋体"/>
              <w:lang w:val="en-US" w:eastAsia="zh-CN"/>
            </w:rPr>
            <w:fldChar w:fldCharType="end"/>
          </w:r>
        </w:p>
        <w:p w14:paraId="7EF1D7FF">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_Toc5524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第4章评价单元划分</w:t>
          </w:r>
          <w:r>
            <w:tab/>
          </w:r>
          <w:r>
            <w:fldChar w:fldCharType="begin"/>
          </w:r>
          <w:r>
            <w:instrText xml:space="preserve"> PAGEREF _Toc5524 \h </w:instrText>
          </w:r>
          <w:r>
            <w:fldChar w:fldCharType="separate"/>
          </w:r>
          <w:r>
            <w:t>- 60 -</w:t>
          </w:r>
          <w:r>
            <w:fldChar w:fldCharType="end"/>
          </w:r>
          <w:r>
            <w:rPr>
              <w:rFonts w:hint="eastAsia" w:ascii="宋体" w:hAnsi="宋体" w:eastAsia="宋体" w:cs="宋体"/>
              <w:lang w:val="en-US" w:eastAsia="zh-CN"/>
            </w:rPr>
            <w:fldChar w:fldCharType="end"/>
          </w:r>
        </w:p>
        <w:p w14:paraId="03F3DBB7">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_Toc4869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4.1安全评价单元划分</w:t>
          </w:r>
          <w:r>
            <w:tab/>
          </w:r>
          <w:r>
            <w:fldChar w:fldCharType="begin"/>
          </w:r>
          <w:r>
            <w:instrText xml:space="preserve"> PAGEREF _Toc4869 \h </w:instrText>
          </w:r>
          <w:r>
            <w:fldChar w:fldCharType="separate"/>
          </w:r>
          <w:r>
            <w:t>- 60 -</w:t>
          </w:r>
          <w:r>
            <w:fldChar w:fldCharType="end"/>
          </w:r>
          <w:r>
            <w:rPr>
              <w:rFonts w:hint="eastAsia" w:ascii="宋体" w:hAnsi="宋体" w:eastAsia="宋体" w:cs="宋体"/>
              <w:lang w:val="en-US" w:eastAsia="zh-CN"/>
            </w:rPr>
            <w:fldChar w:fldCharType="end"/>
          </w:r>
        </w:p>
        <w:p w14:paraId="314FE4DB">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_Toc12533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4.2评价单元划分的理由</w:t>
          </w:r>
          <w:r>
            <w:tab/>
          </w:r>
          <w:r>
            <w:fldChar w:fldCharType="begin"/>
          </w:r>
          <w:r>
            <w:instrText xml:space="preserve"> PAGEREF _Toc12533 \h </w:instrText>
          </w:r>
          <w:r>
            <w:fldChar w:fldCharType="separate"/>
          </w:r>
          <w:r>
            <w:t>- 61 -</w:t>
          </w:r>
          <w:r>
            <w:fldChar w:fldCharType="end"/>
          </w:r>
          <w:r>
            <w:rPr>
              <w:rFonts w:hint="eastAsia" w:ascii="宋体" w:hAnsi="宋体" w:eastAsia="宋体" w:cs="宋体"/>
              <w:lang w:val="en-US" w:eastAsia="zh-CN"/>
            </w:rPr>
            <w:fldChar w:fldCharType="end"/>
          </w:r>
        </w:p>
        <w:p w14:paraId="1D414E22">
          <w:pPr>
            <w:pStyle w:val="12"/>
            <w:tabs>
              <w:tab w:val="right" w:leader="dot" w:pos="9185"/>
            </w:tabs>
            <w:rPr>
              <w:rFonts w:hint="eastAsia" w:ascii="宋体" w:hAnsi="宋体" w:eastAsia="宋体" w:cs="宋体"/>
              <w:lang w:val="en-US" w:eastAsia="zh-CN"/>
            </w:rPr>
            <w:sectPr>
              <w:footerReference r:id="rId6" w:type="default"/>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p>
        <w:p w14:paraId="7FF38F40">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_Toc25996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第5章评价方法选择</w:t>
          </w:r>
          <w:r>
            <w:tab/>
          </w:r>
          <w:r>
            <w:fldChar w:fldCharType="begin"/>
          </w:r>
          <w:r>
            <w:instrText xml:space="preserve"> PAGEREF _Toc25996 \h </w:instrText>
          </w:r>
          <w:r>
            <w:fldChar w:fldCharType="separate"/>
          </w:r>
          <w:r>
            <w:t>- 62 -</w:t>
          </w:r>
          <w:r>
            <w:fldChar w:fldCharType="end"/>
          </w:r>
          <w:r>
            <w:rPr>
              <w:rFonts w:hint="eastAsia" w:ascii="宋体" w:hAnsi="宋体" w:eastAsia="宋体" w:cs="宋体"/>
              <w:lang w:val="en-US" w:eastAsia="zh-CN"/>
            </w:rPr>
            <w:fldChar w:fldCharType="end"/>
          </w:r>
        </w:p>
        <w:p w14:paraId="36A353A2">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_Toc26878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5.1采用的安全评价方法</w:t>
          </w:r>
          <w:r>
            <w:tab/>
          </w:r>
          <w:r>
            <w:fldChar w:fldCharType="begin"/>
          </w:r>
          <w:r>
            <w:instrText xml:space="preserve"> PAGEREF _Toc26878 \h </w:instrText>
          </w:r>
          <w:r>
            <w:fldChar w:fldCharType="separate"/>
          </w:r>
          <w:r>
            <w:t>- 62 -</w:t>
          </w:r>
          <w:r>
            <w:fldChar w:fldCharType="end"/>
          </w:r>
          <w:r>
            <w:rPr>
              <w:rFonts w:hint="eastAsia" w:ascii="宋体" w:hAnsi="宋体" w:eastAsia="宋体" w:cs="宋体"/>
              <w:lang w:val="en-US" w:eastAsia="zh-CN"/>
            </w:rPr>
            <w:fldChar w:fldCharType="end"/>
          </w:r>
        </w:p>
        <w:p w14:paraId="4393C85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_Toc21941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5.1.1安全检查表</w:t>
          </w:r>
          <w:r>
            <w:tab/>
          </w:r>
          <w:r>
            <w:fldChar w:fldCharType="begin"/>
          </w:r>
          <w:r>
            <w:instrText xml:space="preserve"> PAGEREF _Toc21941 \h </w:instrText>
          </w:r>
          <w:r>
            <w:fldChar w:fldCharType="separate"/>
          </w:r>
          <w:r>
            <w:t>- 62 -</w:t>
          </w:r>
          <w:r>
            <w:fldChar w:fldCharType="end"/>
          </w:r>
          <w:r>
            <w:rPr>
              <w:rFonts w:hint="eastAsia" w:ascii="宋体" w:hAnsi="宋体" w:eastAsia="宋体" w:cs="宋体"/>
              <w:lang w:val="en-US" w:eastAsia="zh-CN"/>
            </w:rPr>
            <w:fldChar w:fldCharType="end"/>
          </w:r>
        </w:p>
        <w:p w14:paraId="64A84CD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_Toc23134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5.1.2作业条件危险性评价法（格雷厄姆法）简介</w:t>
          </w:r>
          <w:r>
            <w:tab/>
          </w:r>
          <w:r>
            <w:fldChar w:fldCharType="begin"/>
          </w:r>
          <w:r>
            <w:instrText xml:space="preserve"> PAGEREF _Toc23134 \h </w:instrText>
          </w:r>
          <w:r>
            <w:fldChar w:fldCharType="separate"/>
          </w:r>
          <w:r>
            <w:t>- 63 -</w:t>
          </w:r>
          <w:r>
            <w:fldChar w:fldCharType="end"/>
          </w:r>
          <w:r>
            <w:rPr>
              <w:rFonts w:hint="eastAsia" w:ascii="宋体" w:hAnsi="宋体" w:eastAsia="宋体" w:cs="宋体"/>
              <w:lang w:val="en-US" w:eastAsia="zh-CN"/>
            </w:rPr>
            <w:fldChar w:fldCharType="end"/>
          </w:r>
        </w:p>
        <w:p w14:paraId="0E7D51C4">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_Toc7207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5.1.3地下储罐爆炸的伤害模型计算法</w:t>
          </w:r>
          <w:r>
            <w:tab/>
          </w:r>
          <w:r>
            <w:fldChar w:fldCharType="begin"/>
          </w:r>
          <w:r>
            <w:instrText xml:space="preserve"> PAGEREF _Toc7207 \h </w:instrText>
          </w:r>
          <w:r>
            <w:fldChar w:fldCharType="separate"/>
          </w:r>
          <w:r>
            <w:t>- 66 -</w:t>
          </w:r>
          <w:r>
            <w:fldChar w:fldCharType="end"/>
          </w:r>
          <w:r>
            <w:rPr>
              <w:rFonts w:hint="eastAsia" w:ascii="宋体" w:hAnsi="宋体" w:eastAsia="宋体" w:cs="宋体"/>
              <w:lang w:val="en-US" w:eastAsia="zh-CN"/>
            </w:rPr>
            <w:fldChar w:fldCharType="end"/>
          </w:r>
        </w:p>
        <w:p w14:paraId="79AF34A3">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_Toc5870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5.2采用的评价方法选择的理由</w:t>
          </w:r>
          <w:r>
            <w:tab/>
          </w:r>
          <w:r>
            <w:fldChar w:fldCharType="begin"/>
          </w:r>
          <w:r>
            <w:instrText xml:space="preserve"> PAGEREF _Toc5870 \h </w:instrText>
          </w:r>
          <w:r>
            <w:fldChar w:fldCharType="separate"/>
          </w:r>
          <w:r>
            <w:t>- 67 -</w:t>
          </w:r>
          <w:r>
            <w:fldChar w:fldCharType="end"/>
          </w:r>
          <w:r>
            <w:rPr>
              <w:rFonts w:hint="eastAsia" w:ascii="宋体" w:hAnsi="宋体" w:eastAsia="宋体" w:cs="宋体"/>
              <w:lang w:val="en-US" w:eastAsia="zh-CN"/>
            </w:rPr>
            <w:fldChar w:fldCharType="end"/>
          </w:r>
        </w:p>
        <w:p w14:paraId="2BAD7CBA">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_Toc6117 </w:instrText>
          </w:r>
          <w:r>
            <w:rPr>
              <w:rFonts w:hint="eastAsia" w:ascii="宋体" w:hAnsi="宋体" w:eastAsia="宋体" w:cs="宋体"/>
              <w:lang w:val="en-US" w:eastAsia="zh-CN"/>
            </w:rPr>
            <w:fldChar w:fldCharType="separate"/>
          </w:r>
          <w:r>
            <w:rPr>
              <w:rFonts w:hint="eastAsia" w:ascii="宋体" w:hAnsi="宋体" w:eastAsia="宋体" w:cs="宋体"/>
              <w:szCs w:val="36"/>
              <w:lang w:val="en-US" w:eastAsia="zh-CN"/>
            </w:rPr>
            <w:t>第6章危险危害度评价及可能发生的事故风险分析</w:t>
          </w:r>
          <w:r>
            <w:tab/>
          </w:r>
          <w:r>
            <w:fldChar w:fldCharType="begin"/>
          </w:r>
          <w:r>
            <w:instrText xml:space="preserve"> PAGEREF _Toc6117 \h </w:instrText>
          </w:r>
          <w:r>
            <w:fldChar w:fldCharType="separate"/>
          </w:r>
          <w:r>
            <w:t>- 69 -</w:t>
          </w:r>
          <w:r>
            <w:fldChar w:fldCharType="end"/>
          </w:r>
          <w:r>
            <w:rPr>
              <w:rFonts w:hint="eastAsia" w:ascii="宋体" w:hAnsi="宋体" w:eastAsia="宋体" w:cs="宋体"/>
              <w:lang w:val="en-US" w:eastAsia="zh-CN"/>
            </w:rPr>
            <w:fldChar w:fldCharType="end"/>
          </w:r>
        </w:p>
        <w:p w14:paraId="3105CCED">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_Toc27654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6.1主要危险化学品储存情况</w:t>
          </w:r>
          <w:r>
            <w:tab/>
          </w:r>
          <w:r>
            <w:fldChar w:fldCharType="begin"/>
          </w:r>
          <w:r>
            <w:instrText xml:space="preserve"> PAGEREF _Toc27654 \h </w:instrText>
          </w:r>
          <w:r>
            <w:fldChar w:fldCharType="separate"/>
          </w:r>
          <w:r>
            <w:t>- 69 -</w:t>
          </w:r>
          <w:r>
            <w:fldChar w:fldCharType="end"/>
          </w:r>
          <w:r>
            <w:rPr>
              <w:rFonts w:hint="eastAsia" w:ascii="宋体" w:hAnsi="宋体" w:eastAsia="宋体" w:cs="宋体"/>
              <w:lang w:val="en-US" w:eastAsia="zh-CN"/>
            </w:rPr>
            <w:fldChar w:fldCharType="end"/>
          </w:r>
        </w:p>
        <w:p w14:paraId="1A6D7778">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_Toc10690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6.2作业条件危险性评价</w:t>
          </w:r>
          <w:r>
            <w:tab/>
          </w:r>
          <w:r>
            <w:fldChar w:fldCharType="begin"/>
          </w:r>
          <w:r>
            <w:instrText xml:space="preserve"> PAGEREF _Toc10690 \h </w:instrText>
          </w:r>
          <w:r>
            <w:fldChar w:fldCharType="separate"/>
          </w:r>
          <w:r>
            <w:t>- 69 -</w:t>
          </w:r>
          <w:r>
            <w:fldChar w:fldCharType="end"/>
          </w:r>
          <w:r>
            <w:rPr>
              <w:rFonts w:hint="eastAsia" w:ascii="宋体" w:hAnsi="宋体" w:eastAsia="宋体" w:cs="宋体"/>
              <w:lang w:val="en-US" w:eastAsia="zh-CN"/>
            </w:rPr>
            <w:fldChar w:fldCharType="end"/>
          </w:r>
        </w:p>
        <w:p w14:paraId="278A30D0">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_Toc17574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shd w:val="clear" w:color="auto" w:fill="auto"/>
              <w:lang w:val="en-US" w:eastAsia="zh-CN"/>
            </w:rPr>
            <w:t>6.3地下储罐爆炸的伤害模型计算</w:t>
          </w:r>
          <w:r>
            <w:tab/>
          </w:r>
          <w:r>
            <w:fldChar w:fldCharType="begin"/>
          </w:r>
          <w:r>
            <w:instrText xml:space="preserve"> PAGEREF _Toc17574 \h </w:instrText>
          </w:r>
          <w:r>
            <w:fldChar w:fldCharType="separate"/>
          </w:r>
          <w:r>
            <w:t>- 71 -</w:t>
          </w:r>
          <w:r>
            <w:fldChar w:fldCharType="end"/>
          </w:r>
          <w:r>
            <w:rPr>
              <w:rFonts w:hint="eastAsia" w:ascii="宋体" w:hAnsi="宋体" w:eastAsia="宋体" w:cs="宋体"/>
              <w:lang w:val="en-US" w:eastAsia="zh-CN"/>
            </w:rPr>
            <w:fldChar w:fldCharType="end"/>
          </w:r>
        </w:p>
        <w:p w14:paraId="4EB026B3">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_Toc12390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第7章安全检查评价</w:t>
          </w:r>
          <w:r>
            <w:tab/>
          </w:r>
          <w:r>
            <w:fldChar w:fldCharType="begin"/>
          </w:r>
          <w:r>
            <w:instrText xml:space="preserve"> PAGEREF _Toc12390 \h </w:instrText>
          </w:r>
          <w:r>
            <w:fldChar w:fldCharType="separate"/>
          </w:r>
          <w:r>
            <w:t>- 75 -</w:t>
          </w:r>
          <w:r>
            <w:fldChar w:fldCharType="end"/>
          </w:r>
          <w:r>
            <w:rPr>
              <w:rFonts w:hint="eastAsia" w:ascii="宋体" w:hAnsi="宋体" w:eastAsia="宋体" w:cs="宋体"/>
              <w:lang w:val="en-US" w:eastAsia="zh-CN"/>
            </w:rPr>
            <w:fldChar w:fldCharType="end"/>
          </w:r>
        </w:p>
        <w:p w14:paraId="0F99CEC4">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_Toc19920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7.1站址与总平面布置评价单元</w:t>
          </w:r>
          <w:r>
            <w:tab/>
          </w:r>
          <w:r>
            <w:fldChar w:fldCharType="begin"/>
          </w:r>
          <w:r>
            <w:instrText xml:space="preserve"> PAGEREF _Toc19920 \h </w:instrText>
          </w:r>
          <w:r>
            <w:fldChar w:fldCharType="separate"/>
          </w:r>
          <w:r>
            <w:t>- 75 -</w:t>
          </w:r>
          <w:r>
            <w:fldChar w:fldCharType="end"/>
          </w:r>
          <w:r>
            <w:rPr>
              <w:rFonts w:hint="eastAsia" w:ascii="宋体" w:hAnsi="宋体" w:eastAsia="宋体" w:cs="宋体"/>
              <w:lang w:val="en-US" w:eastAsia="zh-CN"/>
            </w:rPr>
            <w:fldChar w:fldCharType="end"/>
          </w:r>
        </w:p>
        <w:p w14:paraId="3D68BF7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_Toc20931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7.1.1站址评价子单元</w:t>
          </w:r>
          <w:r>
            <w:tab/>
          </w:r>
          <w:r>
            <w:fldChar w:fldCharType="begin"/>
          </w:r>
          <w:r>
            <w:instrText xml:space="preserve"> PAGEREF _Toc20931 \h </w:instrText>
          </w:r>
          <w:r>
            <w:fldChar w:fldCharType="separate"/>
          </w:r>
          <w:r>
            <w:t>- 75 -</w:t>
          </w:r>
          <w:r>
            <w:fldChar w:fldCharType="end"/>
          </w:r>
          <w:r>
            <w:rPr>
              <w:rFonts w:hint="eastAsia" w:ascii="宋体" w:hAnsi="宋体" w:eastAsia="宋体" w:cs="宋体"/>
              <w:lang w:val="en-US" w:eastAsia="zh-CN"/>
            </w:rPr>
            <w:fldChar w:fldCharType="end"/>
          </w:r>
        </w:p>
        <w:p w14:paraId="530A33CC">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_Toc30404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7.1.2总平面布置评价子单元</w:t>
          </w:r>
          <w:r>
            <w:tab/>
          </w:r>
          <w:r>
            <w:fldChar w:fldCharType="begin"/>
          </w:r>
          <w:r>
            <w:instrText xml:space="preserve"> PAGEREF _Toc30404 \h </w:instrText>
          </w:r>
          <w:r>
            <w:fldChar w:fldCharType="separate"/>
          </w:r>
          <w:r>
            <w:t>- 76 -</w:t>
          </w:r>
          <w:r>
            <w:fldChar w:fldCharType="end"/>
          </w:r>
          <w:r>
            <w:rPr>
              <w:rFonts w:hint="eastAsia" w:ascii="宋体" w:hAnsi="宋体" w:eastAsia="宋体" w:cs="宋体"/>
              <w:lang w:val="en-US" w:eastAsia="zh-CN"/>
            </w:rPr>
            <w:fldChar w:fldCharType="end"/>
          </w:r>
        </w:p>
        <w:p w14:paraId="20F5DBC2">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_Toc25830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7.1.3自然环境条件的分析评价</w:t>
          </w:r>
          <w:r>
            <w:tab/>
          </w:r>
          <w:r>
            <w:fldChar w:fldCharType="begin"/>
          </w:r>
          <w:r>
            <w:instrText xml:space="preserve"> PAGEREF _Toc25830 \h </w:instrText>
          </w:r>
          <w:r>
            <w:fldChar w:fldCharType="separate"/>
          </w:r>
          <w:r>
            <w:t>- 78 -</w:t>
          </w:r>
          <w:r>
            <w:fldChar w:fldCharType="end"/>
          </w:r>
          <w:r>
            <w:rPr>
              <w:rFonts w:hint="eastAsia" w:ascii="宋体" w:hAnsi="宋体" w:eastAsia="宋体" w:cs="宋体"/>
              <w:lang w:val="en-US" w:eastAsia="zh-CN"/>
            </w:rPr>
            <w:fldChar w:fldCharType="end"/>
          </w:r>
        </w:p>
        <w:p w14:paraId="745AB5DB">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_Toc29690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7.1.4爆炸危险区域分析评价</w:t>
          </w:r>
          <w:r>
            <w:tab/>
          </w:r>
          <w:r>
            <w:fldChar w:fldCharType="begin"/>
          </w:r>
          <w:r>
            <w:instrText xml:space="preserve"> PAGEREF _Toc29690 \h </w:instrText>
          </w:r>
          <w:r>
            <w:fldChar w:fldCharType="separate"/>
          </w:r>
          <w:r>
            <w:t>- 78 -</w:t>
          </w:r>
          <w:r>
            <w:fldChar w:fldCharType="end"/>
          </w:r>
          <w:r>
            <w:rPr>
              <w:rFonts w:hint="eastAsia" w:ascii="宋体" w:hAnsi="宋体" w:eastAsia="宋体" w:cs="宋体"/>
              <w:lang w:val="en-US" w:eastAsia="zh-CN"/>
            </w:rPr>
            <w:fldChar w:fldCharType="end"/>
          </w:r>
        </w:p>
        <w:p w14:paraId="4558E0D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_Toc10115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7.1.5单元小节</w:t>
          </w:r>
          <w:r>
            <w:tab/>
          </w:r>
          <w:r>
            <w:fldChar w:fldCharType="begin"/>
          </w:r>
          <w:r>
            <w:instrText xml:space="preserve"> PAGEREF _Toc10115 \h </w:instrText>
          </w:r>
          <w:r>
            <w:fldChar w:fldCharType="separate"/>
          </w:r>
          <w:r>
            <w:t>- 79 -</w:t>
          </w:r>
          <w:r>
            <w:fldChar w:fldCharType="end"/>
          </w:r>
          <w:r>
            <w:rPr>
              <w:rFonts w:hint="eastAsia" w:ascii="宋体" w:hAnsi="宋体" w:eastAsia="宋体" w:cs="宋体"/>
              <w:lang w:val="en-US" w:eastAsia="zh-CN"/>
            </w:rPr>
            <w:fldChar w:fldCharType="end"/>
          </w:r>
        </w:p>
        <w:p w14:paraId="5915FCED">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_Toc25356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7.2工艺及设施单元</w:t>
          </w:r>
          <w:r>
            <w:tab/>
          </w:r>
          <w:r>
            <w:fldChar w:fldCharType="begin"/>
          </w:r>
          <w:r>
            <w:instrText xml:space="preserve"> PAGEREF _Toc25356 \h </w:instrText>
          </w:r>
          <w:r>
            <w:fldChar w:fldCharType="separate"/>
          </w:r>
          <w:r>
            <w:t>- 79 -</w:t>
          </w:r>
          <w:r>
            <w:fldChar w:fldCharType="end"/>
          </w:r>
          <w:r>
            <w:rPr>
              <w:rFonts w:hint="eastAsia" w:ascii="宋体" w:hAnsi="宋体" w:eastAsia="宋体" w:cs="宋体"/>
              <w:lang w:val="en-US" w:eastAsia="zh-CN"/>
            </w:rPr>
            <w:fldChar w:fldCharType="end"/>
          </w:r>
        </w:p>
        <w:p w14:paraId="60D7902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_Toc1199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7.2.1工艺及设施安全检查评价</w:t>
          </w:r>
          <w:r>
            <w:tab/>
          </w:r>
          <w:r>
            <w:fldChar w:fldCharType="begin"/>
          </w:r>
          <w:r>
            <w:instrText xml:space="preserve"> PAGEREF _Toc1199 \h </w:instrText>
          </w:r>
          <w:r>
            <w:fldChar w:fldCharType="separate"/>
          </w:r>
          <w:r>
            <w:t>- 79 -</w:t>
          </w:r>
          <w:r>
            <w:fldChar w:fldCharType="end"/>
          </w:r>
          <w:r>
            <w:rPr>
              <w:rFonts w:hint="eastAsia" w:ascii="宋体" w:hAnsi="宋体" w:eastAsia="宋体" w:cs="宋体"/>
              <w:lang w:val="en-US" w:eastAsia="zh-CN"/>
            </w:rPr>
            <w:fldChar w:fldCharType="end"/>
          </w:r>
        </w:p>
        <w:p w14:paraId="00A115F7">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_Toc24316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7.2.2单元小节</w:t>
          </w:r>
          <w:r>
            <w:tab/>
          </w:r>
          <w:r>
            <w:fldChar w:fldCharType="begin"/>
          </w:r>
          <w:r>
            <w:instrText xml:space="preserve"> PAGEREF _Toc24316 \h </w:instrText>
          </w:r>
          <w:r>
            <w:fldChar w:fldCharType="separate"/>
          </w:r>
          <w:r>
            <w:t>- 84 -</w:t>
          </w:r>
          <w:r>
            <w:fldChar w:fldCharType="end"/>
          </w:r>
          <w:r>
            <w:rPr>
              <w:rFonts w:hint="eastAsia" w:ascii="宋体" w:hAnsi="宋体" w:eastAsia="宋体" w:cs="宋体"/>
              <w:lang w:val="en-US" w:eastAsia="zh-CN"/>
            </w:rPr>
            <w:fldChar w:fldCharType="end"/>
          </w:r>
        </w:p>
        <w:p w14:paraId="125BA9D3">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_Toc7846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7.3公辅设施单元</w:t>
          </w:r>
          <w:r>
            <w:tab/>
          </w:r>
          <w:r>
            <w:fldChar w:fldCharType="begin"/>
          </w:r>
          <w:r>
            <w:instrText xml:space="preserve"> PAGEREF _Toc7846 \h </w:instrText>
          </w:r>
          <w:r>
            <w:fldChar w:fldCharType="separate"/>
          </w:r>
          <w:r>
            <w:t>- 85 -</w:t>
          </w:r>
          <w:r>
            <w:fldChar w:fldCharType="end"/>
          </w:r>
          <w:r>
            <w:rPr>
              <w:rFonts w:hint="eastAsia" w:ascii="宋体" w:hAnsi="宋体" w:eastAsia="宋体" w:cs="宋体"/>
              <w:lang w:val="en-US" w:eastAsia="zh-CN"/>
            </w:rPr>
            <w:fldChar w:fldCharType="end"/>
          </w:r>
        </w:p>
        <w:p w14:paraId="2EED050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_Toc3944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7.3.1公辅设施安全检查评价</w:t>
          </w:r>
          <w:r>
            <w:tab/>
          </w:r>
          <w:r>
            <w:fldChar w:fldCharType="begin"/>
          </w:r>
          <w:r>
            <w:instrText xml:space="preserve"> PAGEREF _Toc3944 \h </w:instrText>
          </w:r>
          <w:r>
            <w:fldChar w:fldCharType="separate"/>
          </w:r>
          <w:r>
            <w:t>- 85 -</w:t>
          </w:r>
          <w:r>
            <w:fldChar w:fldCharType="end"/>
          </w:r>
          <w:r>
            <w:rPr>
              <w:rFonts w:hint="eastAsia" w:ascii="宋体" w:hAnsi="宋体" w:eastAsia="宋体" w:cs="宋体"/>
              <w:lang w:val="en-US" w:eastAsia="zh-CN"/>
            </w:rPr>
            <w:fldChar w:fldCharType="end"/>
          </w:r>
        </w:p>
        <w:p w14:paraId="51B67549">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_Toc7058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7.3.2单元小节</w:t>
          </w:r>
          <w:r>
            <w:tab/>
          </w:r>
          <w:r>
            <w:fldChar w:fldCharType="begin"/>
          </w:r>
          <w:r>
            <w:instrText xml:space="preserve"> PAGEREF _Toc7058 \h </w:instrText>
          </w:r>
          <w:r>
            <w:fldChar w:fldCharType="separate"/>
          </w:r>
          <w:r>
            <w:t>- 86 -</w:t>
          </w:r>
          <w:r>
            <w:fldChar w:fldCharType="end"/>
          </w:r>
          <w:r>
            <w:rPr>
              <w:rFonts w:hint="eastAsia" w:ascii="宋体" w:hAnsi="宋体" w:eastAsia="宋体" w:cs="宋体"/>
              <w:lang w:val="en-US" w:eastAsia="zh-CN"/>
            </w:rPr>
            <w:fldChar w:fldCharType="end"/>
          </w:r>
        </w:p>
        <w:p w14:paraId="7ABFB7DE">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_Toc21171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7.4安全管理单元</w:t>
          </w:r>
          <w:r>
            <w:tab/>
          </w:r>
          <w:r>
            <w:fldChar w:fldCharType="begin"/>
          </w:r>
          <w:r>
            <w:instrText xml:space="preserve"> PAGEREF _Toc21171 \h </w:instrText>
          </w:r>
          <w:r>
            <w:fldChar w:fldCharType="separate"/>
          </w:r>
          <w:r>
            <w:t>- 87 -</w:t>
          </w:r>
          <w:r>
            <w:fldChar w:fldCharType="end"/>
          </w:r>
          <w:r>
            <w:rPr>
              <w:rFonts w:hint="eastAsia" w:ascii="宋体" w:hAnsi="宋体" w:eastAsia="宋体" w:cs="宋体"/>
              <w:lang w:val="en-US" w:eastAsia="zh-CN"/>
            </w:rPr>
            <w:fldChar w:fldCharType="end"/>
          </w:r>
        </w:p>
        <w:p w14:paraId="6D82D64B">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_Toc30120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7.4.1安全管理单元安全检查表</w:t>
          </w:r>
          <w:r>
            <w:tab/>
          </w:r>
          <w:r>
            <w:fldChar w:fldCharType="begin"/>
          </w:r>
          <w:r>
            <w:instrText xml:space="preserve"> PAGEREF _Toc30120 \h </w:instrText>
          </w:r>
          <w:r>
            <w:fldChar w:fldCharType="separate"/>
          </w:r>
          <w:r>
            <w:t>- 87 -</w:t>
          </w:r>
          <w:r>
            <w:fldChar w:fldCharType="end"/>
          </w:r>
          <w:r>
            <w:rPr>
              <w:rFonts w:hint="eastAsia" w:ascii="宋体" w:hAnsi="宋体" w:eastAsia="宋体" w:cs="宋体"/>
              <w:lang w:val="en-US" w:eastAsia="zh-CN"/>
            </w:rPr>
            <w:fldChar w:fldCharType="end"/>
          </w:r>
        </w:p>
        <w:p w14:paraId="580AF063">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_Toc25133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7.4.2单元小节</w:t>
          </w:r>
          <w:r>
            <w:tab/>
          </w:r>
          <w:r>
            <w:fldChar w:fldCharType="begin"/>
          </w:r>
          <w:r>
            <w:instrText xml:space="preserve"> PAGEREF _Toc25133 \h </w:instrText>
          </w:r>
          <w:r>
            <w:fldChar w:fldCharType="separate"/>
          </w:r>
          <w:r>
            <w:t>- 92 -</w:t>
          </w:r>
          <w:r>
            <w:fldChar w:fldCharType="end"/>
          </w:r>
          <w:r>
            <w:rPr>
              <w:rFonts w:hint="eastAsia" w:ascii="宋体" w:hAnsi="宋体" w:eastAsia="宋体" w:cs="宋体"/>
              <w:lang w:val="en-US" w:eastAsia="zh-CN"/>
            </w:rPr>
            <w:fldChar w:fldCharType="end"/>
          </w:r>
        </w:p>
        <w:p w14:paraId="56FD29B6">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_Toc20765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7.5安全经营条件单元</w:t>
          </w:r>
          <w:r>
            <w:tab/>
          </w:r>
          <w:r>
            <w:fldChar w:fldCharType="begin"/>
          </w:r>
          <w:r>
            <w:instrText xml:space="preserve"> PAGEREF _Toc20765 \h </w:instrText>
          </w:r>
          <w:r>
            <w:fldChar w:fldCharType="separate"/>
          </w:r>
          <w:r>
            <w:t>- 93 -</w:t>
          </w:r>
          <w:r>
            <w:fldChar w:fldCharType="end"/>
          </w:r>
          <w:r>
            <w:rPr>
              <w:rFonts w:hint="eastAsia" w:ascii="宋体" w:hAnsi="宋体" w:eastAsia="宋体" w:cs="宋体"/>
              <w:lang w:val="en-US" w:eastAsia="zh-CN"/>
            </w:rPr>
            <w:fldChar w:fldCharType="end"/>
          </w:r>
        </w:p>
        <w:p w14:paraId="2B0F3AF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_Toc2238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7.5.1重大隐患判定检查表</w:t>
          </w:r>
          <w:r>
            <w:tab/>
          </w:r>
          <w:r>
            <w:fldChar w:fldCharType="begin"/>
          </w:r>
          <w:r>
            <w:instrText xml:space="preserve"> PAGEREF _Toc2238 \h </w:instrText>
          </w:r>
          <w:r>
            <w:fldChar w:fldCharType="separate"/>
          </w:r>
          <w:r>
            <w:t>- 93 -</w:t>
          </w:r>
          <w:r>
            <w:fldChar w:fldCharType="end"/>
          </w:r>
          <w:r>
            <w:rPr>
              <w:rFonts w:hint="eastAsia" w:ascii="宋体" w:hAnsi="宋体" w:eastAsia="宋体" w:cs="宋体"/>
              <w:lang w:val="en-US" w:eastAsia="zh-CN"/>
            </w:rPr>
            <w:fldChar w:fldCharType="end"/>
          </w:r>
        </w:p>
        <w:p w14:paraId="26E544D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_Toc11961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7.5.2安全经营条件单元安全检查表</w:t>
          </w:r>
          <w:r>
            <w:tab/>
          </w:r>
          <w:r>
            <w:fldChar w:fldCharType="begin"/>
          </w:r>
          <w:r>
            <w:instrText xml:space="preserve"> PAGEREF _Toc11961 \h </w:instrText>
          </w:r>
          <w:r>
            <w:fldChar w:fldCharType="separate"/>
          </w:r>
          <w:r>
            <w:t>- 94 -</w:t>
          </w:r>
          <w:r>
            <w:fldChar w:fldCharType="end"/>
          </w:r>
          <w:r>
            <w:rPr>
              <w:rFonts w:hint="eastAsia" w:ascii="宋体" w:hAnsi="宋体" w:eastAsia="宋体" w:cs="宋体"/>
              <w:lang w:val="en-US" w:eastAsia="zh-CN"/>
            </w:rPr>
            <w:fldChar w:fldCharType="end"/>
          </w:r>
        </w:p>
        <w:p w14:paraId="2E9A7865">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_Toc1952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7.5.3单元小节</w:t>
          </w:r>
          <w:r>
            <w:tab/>
          </w:r>
          <w:r>
            <w:fldChar w:fldCharType="begin"/>
          </w:r>
          <w:r>
            <w:instrText xml:space="preserve"> PAGEREF _Toc1952 \h </w:instrText>
          </w:r>
          <w:r>
            <w:fldChar w:fldCharType="separate"/>
          </w:r>
          <w:r>
            <w:t>- 96 -</w:t>
          </w:r>
          <w:r>
            <w:fldChar w:fldCharType="end"/>
          </w:r>
          <w:r>
            <w:rPr>
              <w:rFonts w:hint="eastAsia" w:ascii="宋体" w:hAnsi="宋体" w:eastAsia="宋体" w:cs="宋体"/>
              <w:lang w:val="en-US" w:eastAsia="zh-CN"/>
            </w:rPr>
            <w:fldChar w:fldCharType="end"/>
          </w:r>
        </w:p>
        <w:p w14:paraId="01C0A702">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_Toc18453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第8章存在问题与整改情况</w:t>
          </w:r>
          <w:r>
            <w:tab/>
          </w:r>
          <w:r>
            <w:fldChar w:fldCharType="begin"/>
          </w:r>
          <w:r>
            <w:instrText xml:space="preserve"> PAGEREF _Toc18453 \h </w:instrText>
          </w:r>
          <w:r>
            <w:fldChar w:fldCharType="separate"/>
          </w:r>
          <w:r>
            <w:t>- 97 -</w:t>
          </w:r>
          <w:r>
            <w:fldChar w:fldCharType="end"/>
          </w:r>
          <w:r>
            <w:rPr>
              <w:rFonts w:hint="eastAsia" w:ascii="宋体" w:hAnsi="宋体" w:eastAsia="宋体" w:cs="宋体"/>
              <w:lang w:val="en-US" w:eastAsia="zh-CN"/>
            </w:rPr>
            <w:fldChar w:fldCharType="end"/>
          </w:r>
        </w:p>
        <w:p w14:paraId="2398E281">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_Toc25129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8.1存在问题及整改要求</w:t>
          </w:r>
          <w:r>
            <w:tab/>
          </w:r>
          <w:r>
            <w:fldChar w:fldCharType="begin"/>
          </w:r>
          <w:r>
            <w:instrText xml:space="preserve"> PAGEREF _Toc25129 \h </w:instrText>
          </w:r>
          <w:r>
            <w:fldChar w:fldCharType="separate"/>
          </w:r>
          <w:r>
            <w:t>- 97 -</w:t>
          </w:r>
          <w:r>
            <w:fldChar w:fldCharType="end"/>
          </w:r>
          <w:r>
            <w:rPr>
              <w:rFonts w:hint="eastAsia" w:ascii="宋体" w:hAnsi="宋体" w:eastAsia="宋体" w:cs="宋体"/>
              <w:lang w:val="en-US" w:eastAsia="zh-CN"/>
            </w:rPr>
            <w:fldChar w:fldCharType="end"/>
          </w:r>
        </w:p>
        <w:p w14:paraId="232E909B">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_Toc2763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8.1.1存在问题</w:t>
          </w:r>
          <w:r>
            <w:tab/>
          </w:r>
          <w:r>
            <w:fldChar w:fldCharType="begin"/>
          </w:r>
          <w:r>
            <w:instrText xml:space="preserve"> PAGEREF _Toc2763 \h </w:instrText>
          </w:r>
          <w:r>
            <w:fldChar w:fldCharType="separate"/>
          </w:r>
          <w:r>
            <w:t>- 97 -</w:t>
          </w:r>
          <w:r>
            <w:fldChar w:fldCharType="end"/>
          </w:r>
          <w:r>
            <w:rPr>
              <w:rFonts w:hint="eastAsia" w:ascii="宋体" w:hAnsi="宋体" w:eastAsia="宋体" w:cs="宋体"/>
              <w:lang w:val="en-US" w:eastAsia="zh-CN"/>
            </w:rPr>
            <w:fldChar w:fldCharType="end"/>
          </w:r>
        </w:p>
        <w:p w14:paraId="35304F2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_Toc20665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8.1.2整改要求</w:t>
          </w:r>
          <w:r>
            <w:tab/>
          </w:r>
          <w:r>
            <w:fldChar w:fldCharType="begin"/>
          </w:r>
          <w:r>
            <w:instrText xml:space="preserve"> PAGEREF _Toc20665 \h </w:instrText>
          </w:r>
          <w:r>
            <w:fldChar w:fldCharType="separate"/>
          </w:r>
          <w:r>
            <w:t>- 97 -</w:t>
          </w:r>
          <w:r>
            <w:fldChar w:fldCharType="end"/>
          </w:r>
          <w:r>
            <w:rPr>
              <w:rFonts w:hint="eastAsia" w:ascii="宋体" w:hAnsi="宋体" w:eastAsia="宋体" w:cs="宋体"/>
              <w:lang w:val="en-US" w:eastAsia="zh-CN"/>
            </w:rPr>
            <w:fldChar w:fldCharType="end"/>
          </w:r>
        </w:p>
        <w:p w14:paraId="34BB45A9">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_Toc4640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8.2隐患整改情况</w:t>
          </w:r>
          <w:r>
            <w:tab/>
          </w:r>
          <w:r>
            <w:fldChar w:fldCharType="begin"/>
          </w:r>
          <w:r>
            <w:instrText xml:space="preserve"> PAGEREF _Toc4640 \h </w:instrText>
          </w:r>
          <w:r>
            <w:fldChar w:fldCharType="separate"/>
          </w:r>
          <w:r>
            <w:t>- 97 -</w:t>
          </w:r>
          <w:r>
            <w:fldChar w:fldCharType="end"/>
          </w:r>
          <w:r>
            <w:rPr>
              <w:rFonts w:hint="eastAsia" w:ascii="宋体" w:hAnsi="宋体" w:eastAsia="宋体" w:cs="宋体"/>
              <w:lang w:val="en-US" w:eastAsia="zh-CN"/>
            </w:rPr>
            <w:fldChar w:fldCharType="end"/>
          </w:r>
        </w:p>
        <w:p w14:paraId="669F96F3">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_Toc23624 </w:instrText>
          </w:r>
          <w:r>
            <w:rPr>
              <w:rFonts w:hint="eastAsia" w:ascii="宋体" w:hAnsi="宋体" w:eastAsia="宋体" w:cs="宋体"/>
              <w:lang w:val="en-US" w:eastAsia="zh-CN"/>
            </w:rPr>
            <w:fldChar w:fldCharType="separate"/>
          </w:r>
          <w:r>
            <w:rPr>
              <w:rFonts w:hint="eastAsia" w:ascii="宋体" w:hAnsi="宋体" w:eastAsia="宋体" w:cs="宋体"/>
              <w:szCs w:val="44"/>
              <w:lang w:val="en-US" w:eastAsia="zh-CN"/>
            </w:rPr>
            <w:t>第9章补充安全对策措施建议</w:t>
          </w:r>
          <w:r>
            <w:tab/>
          </w:r>
          <w:r>
            <w:fldChar w:fldCharType="begin"/>
          </w:r>
          <w:r>
            <w:instrText xml:space="preserve"> PAGEREF _Toc23624 \h </w:instrText>
          </w:r>
          <w:r>
            <w:fldChar w:fldCharType="separate"/>
          </w:r>
          <w:r>
            <w:t>- 98 -</w:t>
          </w:r>
          <w:r>
            <w:fldChar w:fldCharType="end"/>
          </w:r>
          <w:r>
            <w:rPr>
              <w:rFonts w:hint="eastAsia" w:ascii="宋体" w:hAnsi="宋体" w:eastAsia="宋体" w:cs="宋体"/>
              <w:lang w:val="en-US" w:eastAsia="zh-CN"/>
            </w:rPr>
            <w:fldChar w:fldCharType="end"/>
          </w:r>
        </w:p>
        <w:p w14:paraId="517F7A95">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_Toc15081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9.1管理方面的措施及建议</w:t>
          </w:r>
          <w:r>
            <w:tab/>
          </w:r>
          <w:r>
            <w:fldChar w:fldCharType="begin"/>
          </w:r>
          <w:r>
            <w:instrText xml:space="preserve"> PAGEREF _Toc15081 \h </w:instrText>
          </w:r>
          <w:r>
            <w:fldChar w:fldCharType="separate"/>
          </w:r>
          <w:r>
            <w:t>- 98 -</w:t>
          </w:r>
          <w:r>
            <w:fldChar w:fldCharType="end"/>
          </w:r>
          <w:r>
            <w:rPr>
              <w:rFonts w:hint="eastAsia" w:ascii="宋体" w:hAnsi="宋体" w:eastAsia="宋体" w:cs="宋体"/>
              <w:lang w:val="en-US" w:eastAsia="zh-CN"/>
            </w:rPr>
            <w:fldChar w:fldCharType="end"/>
          </w:r>
        </w:p>
        <w:p w14:paraId="46DDA3C8">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_Toc28455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9.2技术方面的措施及建议</w:t>
          </w:r>
          <w:r>
            <w:tab/>
          </w:r>
          <w:r>
            <w:fldChar w:fldCharType="begin"/>
          </w:r>
          <w:r>
            <w:instrText xml:space="preserve"> PAGEREF _Toc28455 \h </w:instrText>
          </w:r>
          <w:r>
            <w:fldChar w:fldCharType="separate"/>
          </w:r>
          <w:r>
            <w:t>- 99 -</w:t>
          </w:r>
          <w:r>
            <w:fldChar w:fldCharType="end"/>
          </w:r>
          <w:r>
            <w:rPr>
              <w:rFonts w:hint="eastAsia" w:ascii="宋体" w:hAnsi="宋体" w:eastAsia="宋体" w:cs="宋体"/>
              <w:lang w:val="en-US" w:eastAsia="zh-CN"/>
            </w:rPr>
            <w:fldChar w:fldCharType="end"/>
          </w:r>
        </w:p>
        <w:p w14:paraId="0A2A624E">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_Toc3009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9.3针对主要危险有害因素提出的措施及建议</w:t>
          </w:r>
          <w:r>
            <w:tab/>
          </w:r>
          <w:r>
            <w:fldChar w:fldCharType="begin"/>
          </w:r>
          <w:r>
            <w:instrText xml:space="preserve"> PAGEREF _Toc3009 \h </w:instrText>
          </w:r>
          <w:r>
            <w:fldChar w:fldCharType="separate"/>
          </w:r>
          <w:r>
            <w:t>- 100 -</w:t>
          </w:r>
          <w:r>
            <w:fldChar w:fldCharType="end"/>
          </w:r>
          <w:r>
            <w:rPr>
              <w:rFonts w:hint="eastAsia" w:ascii="宋体" w:hAnsi="宋体" w:eastAsia="宋体" w:cs="宋体"/>
              <w:lang w:val="en-US" w:eastAsia="zh-CN"/>
            </w:rPr>
            <w:fldChar w:fldCharType="end"/>
          </w:r>
        </w:p>
        <w:p w14:paraId="757946A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_Toc15306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9.3.1防止火灾、爆炸的措施及建议</w:t>
          </w:r>
          <w:r>
            <w:tab/>
          </w:r>
          <w:r>
            <w:fldChar w:fldCharType="begin"/>
          </w:r>
          <w:r>
            <w:instrText xml:space="preserve"> PAGEREF _Toc15306 \h </w:instrText>
          </w:r>
          <w:r>
            <w:fldChar w:fldCharType="separate"/>
          </w:r>
          <w:r>
            <w:t>- 100 -</w:t>
          </w:r>
          <w:r>
            <w:fldChar w:fldCharType="end"/>
          </w:r>
          <w:r>
            <w:rPr>
              <w:rFonts w:hint="eastAsia" w:ascii="宋体" w:hAnsi="宋体" w:eastAsia="宋体" w:cs="宋体"/>
              <w:lang w:val="en-US" w:eastAsia="zh-CN"/>
            </w:rPr>
            <w:fldChar w:fldCharType="end"/>
          </w:r>
        </w:p>
        <w:p w14:paraId="715DF0E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_Toc12947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9.3.2防止触电及电器火灾的措施及建议</w:t>
          </w:r>
          <w:r>
            <w:tab/>
          </w:r>
          <w:r>
            <w:fldChar w:fldCharType="begin"/>
          </w:r>
          <w:r>
            <w:instrText xml:space="preserve"> PAGEREF _Toc12947 \h </w:instrText>
          </w:r>
          <w:r>
            <w:fldChar w:fldCharType="separate"/>
          </w:r>
          <w:r>
            <w:t>- 100 -</w:t>
          </w:r>
          <w:r>
            <w:fldChar w:fldCharType="end"/>
          </w:r>
          <w:r>
            <w:rPr>
              <w:rFonts w:hint="eastAsia" w:ascii="宋体" w:hAnsi="宋体" w:eastAsia="宋体" w:cs="宋体"/>
              <w:lang w:val="en-US" w:eastAsia="zh-CN"/>
            </w:rPr>
            <w:fldChar w:fldCharType="end"/>
          </w:r>
        </w:p>
        <w:p w14:paraId="5463F85B">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_Toc13449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32"/>
              <w:lang w:val="en-US" w:eastAsia="zh-CN"/>
            </w:rPr>
            <w:t>9.4典型事故预防和应急处理措施</w:t>
          </w:r>
          <w:r>
            <w:tab/>
          </w:r>
          <w:r>
            <w:fldChar w:fldCharType="begin"/>
          </w:r>
          <w:r>
            <w:instrText xml:space="preserve"> PAGEREF _Toc13449 \h </w:instrText>
          </w:r>
          <w:r>
            <w:fldChar w:fldCharType="separate"/>
          </w:r>
          <w:r>
            <w:t>- 101 -</w:t>
          </w:r>
          <w:r>
            <w:fldChar w:fldCharType="end"/>
          </w:r>
          <w:r>
            <w:rPr>
              <w:rFonts w:hint="eastAsia" w:ascii="宋体" w:hAnsi="宋体" w:eastAsia="宋体" w:cs="宋体"/>
              <w:lang w:val="en-US" w:eastAsia="zh-CN"/>
            </w:rPr>
            <w:fldChar w:fldCharType="end"/>
          </w:r>
        </w:p>
        <w:p w14:paraId="0235D986">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_Toc10656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9.4.1防漏油事故</w:t>
          </w:r>
          <w:r>
            <w:tab/>
          </w:r>
          <w:r>
            <w:fldChar w:fldCharType="begin"/>
          </w:r>
          <w:r>
            <w:instrText xml:space="preserve"> PAGEREF _Toc10656 \h </w:instrText>
          </w:r>
          <w:r>
            <w:fldChar w:fldCharType="separate"/>
          </w:r>
          <w:r>
            <w:t>- 101 -</w:t>
          </w:r>
          <w:r>
            <w:fldChar w:fldCharType="end"/>
          </w:r>
          <w:r>
            <w:rPr>
              <w:rFonts w:hint="eastAsia" w:ascii="宋体" w:hAnsi="宋体" w:eastAsia="宋体" w:cs="宋体"/>
              <w:lang w:val="en-US" w:eastAsia="zh-CN"/>
            </w:rPr>
            <w:fldChar w:fldCharType="end"/>
          </w:r>
        </w:p>
        <w:p w14:paraId="386D4ED1">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_Toc4006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9.4.2预防明火事故</w:t>
          </w:r>
          <w:r>
            <w:tab/>
          </w:r>
          <w:r>
            <w:fldChar w:fldCharType="begin"/>
          </w:r>
          <w:r>
            <w:instrText xml:space="preserve"> PAGEREF _Toc4006 \h </w:instrText>
          </w:r>
          <w:r>
            <w:fldChar w:fldCharType="separate"/>
          </w:r>
          <w:r>
            <w:t>- 103 -</w:t>
          </w:r>
          <w:r>
            <w:fldChar w:fldCharType="end"/>
          </w:r>
          <w:r>
            <w:rPr>
              <w:rFonts w:hint="eastAsia" w:ascii="宋体" w:hAnsi="宋体" w:eastAsia="宋体" w:cs="宋体"/>
              <w:lang w:val="en-US" w:eastAsia="zh-CN"/>
            </w:rPr>
            <w:fldChar w:fldCharType="end"/>
          </w:r>
        </w:p>
        <w:p w14:paraId="34AD7618">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_Toc11049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9.4.3防静电事故</w:t>
          </w:r>
          <w:r>
            <w:tab/>
          </w:r>
          <w:r>
            <w:fldChar w:fldCharType="begin"/>
          </w:r>
          <w:r>
            <w:instrText xml:space="preserve"> PAGEREF _Toc11049 \h </w:instrText>
          </w:r>
          <w:r>
            <w:fldChar w:fldCharType="separate"/>
          </w:r>
          <w:r>
            <w:t>- 104 -</w:t>
          </w:r>
          <w:r>
            <w:fldChar w:fldCharType="end"/>
          </w:r>
          <w:r>
            <w:rPr>
              <w:rFonts w:hint="eastAsia" w:ascii="宋体" w:hAnsi="宋体" w:eastAsia="宋体" w:cs="宋体"/>
              <w:lang w:val="en-US" w:eastAsia="zh-CN"/>
            </w:rPr>
            <w:fldChar w:fldCharType="end"/>
          </w:r>
        </w:p>
        <w:p w14:paraId="47A6B70C">
          <w:pPr>
            <w:pStyle w:val="9"/>
            <w:tabs>
              <w:tab w:val="right" w:leader="dot" w:pos="9185"/>
            </w:tabs>
            <w:rPr>
              <w:rFonts w:hint="eastAsia" w:ascii="宋体" w:hAnsi="宋体" w:eastAsia="宋体" w:cs="宋体"/>
              <w:lang w:val="en-US" w:eastAsia="zh-CN"/>
            </w:rPr>
            <w:sectPr>
              <w:footerReference r:id="rId7" w:type="default"/>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p>
        <w:p w14:paraId="05C0B6F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_Toc22412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9.4.4防电气火灾事故</w:t>
          </w:r>
          <w:r>
            <w:tab/>
          </w:r>
          <w:r>
            <w:fldChar w:fldCharType="begin"/>
          </w:r>
          <w:r>
            <w:instrText xml:space="preserve"> PAGEREF _Toc22412 \h </w:instrText>
          </w:r>
          <w:r>
            <w:fldChar w:fldCharType="separate"/>
          </w:r>
          <w:r>
            <w:t>- 105 -</w:t>
          </w:r>
          <w:r>
            <w:fldChar w:fldCharType="end"/>
          </w:r>
          <w:r>
            <w:rPr>
              <w:rFonts w:hint="eastAsia" w:ascii="宋体" w:hAnsi="宋体" w:eastAsia="宋体" w:cs="宋体"/>
              <w:lang w:val="en-US" w:eastAsia="zh-CN"/>
            </w:rPr>
            <w:fldChar w:fldCharType="end"/>
          </w:r>
        </w:p>
        <w:p w14:paraId="4028C0DD">
          <w:pPr>
            <w:pStyle w:val="9"/>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_Toc24203 </w:instrText>
          </w:r>
          <w:r>
            <w:rPr>
              <w:rFonts w:hint="eastAsia" w:ascii="宋体" w:hAnsi="宋体" w:eastAsia="宋体" w:cs="宋体"/>
              <w:lang w:val="en-US" w:eastAsia="zh-CN"/>
            </w:rPr>
            <w:fldChar w:fldCharType="separate"/>
          </w:r>
          <w:r>
            <w:rPr>
              <w:rFonts w:hint="eastAsia" w:ascii="宋体" w:hAnsi="宋体" w:eastAsia="宋体" w:cs="宋体"/>
              <w:szCs w:val="30"/>
              <w:lang w:val="en-US" w:eastAsia="zh-CN"/>
            </w:rPr>
            <w:t>9.4.5防雷电事故</w:t>
          </w:r>
          <w:r>
            <w:tab/>
          </w:r>
          <w:r>
            <w:fldChar w:fldCharType="begin"/>
          </w:r>
          <w:r>
            <w:instrText xml:space="preserve"> PAGEREF _Toc24203 \h </w:instrText>
          </w:r>
          <w:r>
            <w:fldChar w:fldCharType="separate"/>
          </w:r>
          <w:r>
            <w:t>- 105 -</w:t>
          </w:r>
          <w:r>
            <w:fldChar w:fldCharType="end"/>
          </w:r>
          <w:r>
            <w:rPr>
              <w:rFonts w:hint="eastAsia" w:ascii="宋体" w:hAnsi="宋体" w:eastAsia="宋体" w:cs="宋体"/>
              <w:lang w:val="en-US" w:eastAsia="zh-CN"/>
            </w:rPr>
            <w:fldChar w:fldCharType="end"/>
          </w:r>
        </w:p>
        <w:p w14:paraId="4C901D7B">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_Toc19016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第10章安全评价结论</w:t>
          </w:r>
          <w:r>
            <w:tab/>
          </w:r>
          <w:r>
            <w:fldChar w:fldCharType="begin"/>
          </w:r>
          <w:r>
            <w:instrText xml:space="preserve"> PAGEREF _Toc19016 \h </w:instrText>
          </w:r>
          <w:r>
            <w:fldChar w:fldCharType="separate"/>
          </w:r>
          <w:r>
            <w:t>- 106 -</w:t>
          </w:r>
          <w:r>
            <w:fldChar w:fldCharType="end"/>
          </w:r>
          <w:r>
            <w:rPr>
              <w:rFonts w:hint="eastAsia" w:ascii="宋体" w:hAnsi="宋体" w:eastAsia="宋体" w:cs="宋体"/>
              <w:lang w:val="en-US" w:eastAsia="zh-CN"/>
            </w:rPr>
            <w:fldChar w:fldCharType="end"/>
          </w:r>
        </w:p>
        <w:p w14:paraId="1296A9DC">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_Toc21845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10.1主要危险物质及危险、有害因素</w:t>
          </w:r>
          <w:r>
            <w:tab/>
          </w:r>
          <w:r>
            <w:fldChar w:fldCharType="begin"/>
          </w:r>
          <w:r>
            <w:instrText xml:space="preserve"> PAGEREF _Toc21845 \h </w:instrText>
          </w:r>
          <w:r>
            <w:fldChar w:fldCharType="separate"/>
          </w:r>
          <w:r>
            <w:t>- 106 -</w:t>
          </w:r>
          <w:r>
            <w:fldChar w:fldCharType="end"/>
          </w:r>
          <w:r>
            <w:rPr>
              <w:rFonts w:hint="eastAsia" w:ascii="宋体" w:hAnsi="宋体" w:eastAsia="宋体" w:cs="宋体"/>
              <w:lang w:val="en-US" w:eastAsia="zh-CN"/>
            </w:rPr>
            <w:fldChar w:fldCharType="end"/>
          </w:r>
        </w:p>
        <w:p w14:paraId="6A885C44">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_Toc6163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10.2需重点防范的事故风险</w:t>
          </w:r>
          <w:r>
            <w:tab/>
          </w:r>
          <w:r>
            <w:fldChar w:fldCharType="begin"/>
          </w:r>
          <w:r>
            <w:instrText xml:space="preserve"> PAGEREF _Toc6163 \h </w:instrText>
          </w:r>
          <w:r>
            <w:fldChar w:fldCharType="separate"/>
          </w:r>
          <w:r>
            <w:t>- 106 -</w:t>
          </w:r>
          <w:r>
            <w:fldChar w:fldCharType="end"/>
          </w:r>
          <w:r>
            <w:rPr>
              <w:rFonts w:hint="eastAsia" w:ascii="宋体" w:hAnsi="宋体" w:eastAsia="宋体" w:cs="宋体"/>
              <w:lang w:val="en-US" w:eastAsia="zh-CN"/>
            </w:rPr>
            <w:fldChar w:fldCharType="end"/>
          </w:r>
        </w:p>
        <w:p w14:paraId="6C2D3509">
          <w:pPr>
            <w:pStyle w:val="13"/>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_Toc30749 </w:instrText>
          </w:r>
          <w:r>
            <w:rPr>
              <w:rFonts w:hint="eastAsia" w:ascii="宋体" w:hAnsi="宋体" w:eastAsia="宋体" w:cs="宋体"/>
              <w:lang w:val="en-US" w:eastAsia="zh-CN"/>
            </w:rPr>
            <w:fldChar w:fldCharType="separate"/>
          </w:r>
          <w:r>
            <w:rPr>
              <w:rFonts w:hint="eastAsia" w:ascii="宋体" w:hAnsi="宋体" w:eastAsia="宋体" w:cs="宋体"/>
              <w:smallCaps/>
              <w:kern w:val="0"/>
              <w:szCs w:val="20"/>
              <w:lang w:val="en-US" w:eastAsia="zh-CN"/>
            </w:rPr>
            <w:t>10.3评价结论</w:t>
          </w:r>
          <w:r>
            <w:tab/>
          </w:r>
          <w:r>
            <w:fldChar w:fldCharType="begin"/>
          </w:r>
          <w:r>
            <w:instrText xml:space="preserve"> PAGEREF _Toc30749 \h </w:instrText>
          </w:r>
          <w:r>
            <w:fldChar w:fldCharType="separate"/>
          </w:r>
          <w:r>
            <w:t>- 106 -</w:t>
          </w:r>
          <w:r>
            <w:fldChar w:fldCharType="end"/>
          </w:r>
          <w:r>
            <w:rPr>
              <w:rFonts w:hint="eastAsia" w:ascii="宋体" w:hAnsi="宋体" w:eastAsia="宋体" w:cs="宋体"/>
              <w:lang w:val="en-US" w:eastAsia="zh-CN"/>
            </w:rPr>
            <w:fldChar w:fldCharType="end"/>
          </w:r>
        </w:p>
        <w:p w14:paraId="1D214A6A">
          <w:pPr>
            <w:pStyle w:val="12"/>
            <w:tabs>
              <w:tab w:val="right" w:leader="dot" w:pos="9185"/>
            </w:tabs>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_Toc9061 </w:instrText>
          </w:r>
          <w:r>
            <w:rPr>
              <w:rFonts w:hint="eastAsia" w:ascii="宋体" w:hAnsi="宋体" w:eastAsia="宋体" w:cs="宋体"/>
              <w:lang w:val="en-US" w:eastAsia="zh-CN"/>
            </w:rPr>
            <w:fldChar w:fldCharType="separate"/>
          </w:r>
          <w:r>
            <w:rPr>
              <w:rFonts w:hint="eastAsia" w:ascii="宋体" w:hAnsi="宋体" w:eastAsia="宋体" w:cs="宋体"/>
              <w:szCs w:val="44"/>
              <w:lang w:val="en-US" w:eastAsia="zh-CN"/>
            </w:rPr>
            <w:t>第11章与企业交换的意见</w:t>
          </w:r>
          <w:r>
            <w:tab/>
          </w:r>
          <w:r>
            <w:fldChar w:fldCharType="begin"/>
          </w:r>
          <w:r>
            <w:instrText xml:space="preserve"> PAGEREF _Toc9061 \h </w:instrText>
          </w:r>
          <w:r>
            <w:fldChar w:fldCharType="separate"/>
          </w:r>
          <w:r>
            <w:t>- 109 -</w:t>
          </w:r>
          <w:r>
            <w:fldChar w:fldCharType="end"/>
          </w:r>
          <w:r>
            <w:rPr>
              <w:rFonts w:hint="eastAsia" w:ascii="宋体" w:hAnsi="宋体" w:eastAsia="宋体" w:cs="宋体"/>
              <w:lang w:val="en-US" w:eastAsia="zh-CN"/>
            </w:rPr>
            <w:fldChar w:fldCharType="end"/>
          </w:r>
        </w:p>
        <w:p w14:paraId="47880B7B">
          <w:pPr>
            <w:pStyle w:val="2"/>
            <w:keepNext/>
            <w:keepLines/>
            <w:pageBreakBefore w:val="0"/>
            <w:widowControl w:val="0"/>
            <w:kinsoku/>
            <w:wordWrap/>
            <w:overflowPunct/>
            <w:topLinePunct w:val="0"/>
            <w:autoSpaceDE/>
            <w:autoSpaceDN/>
            <w:bidi w:val="0"/>
            <w:adjustRightInd/>
            <w:snapToGrid/>
            <w:spacing w:before="157" w:beforeLines="50" w:after="0" w:line="240" w:lineRule="auto"/>
            <w:jc w:val="both"/>
            <w:textAlignment w:val="auto"/>
            <w:rPr>
              <w:rFonts w:hint="eastAsia" w:ascii="宋体" w:hAnsi="宋体" w:eastAsia="宋体" w:cs="宋体"/>
              <w:b/>
              <w:kern w:val="44"/>
              <w:sz w:val="44"/>
              <w:szCs w:val="24"/>
              <w:lang w:val="en-US" w:eastAsia="zh-CN" w:bidi="ar-SA"/>
            </w:rPr>
          </w:pPr>
          <w:r>
            <w:rPr>
              <w:rFonts w:hint="eastAsia" w:ascii="宋体" w:hAnsi="宋体" w:eastAsia="宋体" w:cs="宋体"/>
              <w:lang w:val="en-US" w:eastAsia="zh-CN"/>
            </w:rPr>
            <w:fldChar w:fldCharType="end"/>
          </w:r>
        </w:p>
      </w:sdtContent>
    </w:sdt>
    <w:p w14:paraId="6DE06FAD">
      <w:pPr>
        <w:rPr>
          <w:rFonts w:hint="eastAsia"/>
          <w:lang w:val="en-US" w:eastAsia="zh-CN"/>
        </w:rPr>
        <w:sectPr>
          <w:footerReference r:id="rId8" w:type="default"/>
          <w:pgSz w:w="11906" w:h="16838"/>
          <w:pgMar w:top="1417" w:right="1134" w:bottom="1134" w:left="1587" w:header="737" w:footer="850" w:gutter="0"/>
          <w:pgBorders>
            <w:top w:val="none" w:sz="0" w:space="0"/>
            <w:left w:val="none" w:sz="0" w:space="0"/>
            <w:bottom w:val="none" w:sz="0" w:space="0"/>
            <w:right w:val="none" w:sz="0" w:space="0"/>
          </w:pgBorders>
          <w:pgNumType w:fmt="upperRoman"/>
          <w:cols w:space="425" w:num="1"/>
          <w:docGrid w:type="lines" w:linePitch="312" w:charSpace="0"/>
        </w:sectPr>
      </w:pPr>
    </w:p>
    <w:p w14:paraId="6AED9FDE">
      <w:pPr>
        <w:pStyle w:val="2"/>
        <w:keepNext/>
        <w:keepLines/>
        <w:pageBreakBefore w:val="0"/>
        <w:widowControl w:val="0"/>
        <w:kinsoku/>
        <w:wordWrap/>
        <w:overflowPunct/>
        <w:topLinePunct w:val="0"/>
        <w:autoSpaceDE/>
        <w:autoSpaceDN/>
        <w:bidi w:val="0"/>
        <w:adjustRightInd/>
        <w:snapToGrid/>
        <w:spacing w:before="157" w:beforeLines="50" w:after="0" w:line="240" w:lineRule="auto"/>
        <w:jc w:val="center"/>
        <w:textAlignment w:val="auto"/>
        <w:rPr>
          <w:rFonts w:hint="eastAsia" w:ascii="宋体" w:hAnsi="宋体" w:eastAsia="宋体" w:cs="宋体"/>
          <w:b/>
          <w:smallCaps/>
          <w:color w:val="auto"/>
          <w:kern w:val="0"/>
          <w:sz w:val="32"/>
          <w:szCs w:val="32"/>
          <w:lang w:val="en-US" w:eastAsia="zh-CN"/>
        </w:rPr>
      </w:pPr>
      <w:bookmarkStart w:id="1" w:name="_Toc22428"/>
      <w:r>
        <w:rPr>
          <w:rFonts w:hint="eastAsia" w:ascii="宋体" w:hAnsi="宋体" w:eastAsia="宋体" w:cs="宋体"/>
          <w:lang w:val="en-US" w:eastAsia="zh-CN"/>
        </w:rPr>
        <w:t>第1章 概述</w:t>
      </w:r>
      <w:bookmarkEnd w:id="0"/>
      <w:bookmarkEnd w:id="1"/>
    </w:p>
    <w:p w14:paraId="59A1801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2" w:name="_Toc15759"/>
      <w:bookmarkStart w:id="3" w:name="_Toc5251"/>
      <w:r>
        <w:rPr>
          <w:rFonts w:hint="eastAsia" w:ascii="宋体" w:hAnsi="宋体" w:eastAsia="宋体" w:cs="宋体"/>
          <w:b/>
          <w:smallCaps/>
          <w:color w:val="auto"/>
          <w:kern w:val="0"/>
          <w:sz w:val="32"/>
          <w:szCs w:val="32"/>
          <w:lang w:val="en-US" w:eastAsia="zh-CN"/>
        </w:rPr>
        <w:t>1.1评价目的</w:t>
      </w:r>
      <w:bookmarkEnd w:id="2"/>
      <w:bookmarkEnd w:id="3"/>
    </w:p>
    <w:p w14:paraId="60C1425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本次安全评价的目的，是通过对该加油站的汽油、柴油的经营场所、安全设施及安全管理体系等系统安全状况与法律法规、标准规范的符合性作出评价，查找、分析和预测该加油站存在的危险有害因素及其危险有害程度，提出合理可行的安全对策措施建议，使加油站采取有效的控制和预防措施，最大程度的消除或减弱各种潜在的不安全因素，提高加油站经营过程中的安全可靠性。</w:t>
      </w:r>
    </w:p>
    <w:p w14:paraId="554B73B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通过检查，评价其是否符合下列法规规定的必备条件：</w:t>
      </w:r>
    </w:p>
    <w:p w14:paraId="78D9171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（1）《汽车加油加气加氢站技术标准》（GB50156-2021）中汽车加油站应满足的条件。</w:t>
      </w:r>
    </w:p>
    <w:p w14:paraId="7A3CBCB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（2）《危险化学品安全管理条例》第三十四条规定的经营单位应具备的条件。</w:t>
      </w:r>
    </w:p>
    <w:p w14:paraId="4A8ECC4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（3）《危险化学品经营许可证管理办法》第六条、第八条规定的经营单位应具备的条件。</w:t>
      </w:r>
    </w:p>
    <w:p w14:paraId="1B055E4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（4）《云南省安全生产监督管理局关于危险化学品经营行政许可有关事项的通知》规定的经营单位应具备的条件。</w:t>
      </w:r>
    </w:p>
    <w:p w14:paraId="1771134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ascii="宋体" w:hAnsi="宋体" w:eastAsia="宋体" w:cs="宋体"/>
          <w:sz w:val="28"/>
          <w:szCs w:val="28"/>
        </w:rPr>
      </w:pPr>
      <w:r>
        <w:rPr>
          <w:rFonts w:hint="eastAsia" w:ascii="宋体" w:hAnsi="宋体" w:eastAsia="宋体" w:cs="宋体"/>
          <w:color w:val="auto"/>
          <w:kern w:val="0"/>
          <w:sz w:val="28"/>
          <w:szCs w:val="28"/>
          <w:lang w:val="en-US" w:eastAsia="zh-CN"/>
        </w:rPr>
        <w:t>本次评价结果，可作为反映该加油站当前安全状况的依据，作为该加油站向政府应急管理部</w:t>
      </w:r>
      <w:r>
        <w:rPr>
          <w:rFonts w:hint="eastAsia" w:ascii="宋体" w:hAnsi="宋体" w:eastAsia="宋体" w:cs="宋体"/>
          <w:color w:val="000000" w:themeColor="text1"/>
          <w:kern w:val="0"/>
          <w:sz w:val="28"/>
          <w:szCs w:val="28"/>
          <w:lang w:val="en-US" w:eastAsia="zh-CN"/>
          <w14:textFill>
            <w14:solidFill>
              <w14:schemeClr w14:val="tx1"/>
            </w14:solidFill>
          </w14:textFill>
        </w:rPr>
        <w:t>门申请办理延期危险化学品经营许可证的合法依据，</w:t>
      </w:r>
      <w:r>
        <w:rPr>
          <w:rFonts w:hint="eastAsia" w:ascii="宋体" w:hAnsi="宋体" w:eastAsia="宋体" w:cs="宋体"/>
          <w:color w:val="auto"/>
          <w:kern w:val="0"/>
          <w:sz w:val="28"/>
          <w:szCs w:val="28"/>
          <w:lang w:val="en-US" w:eastAsia="zh-CN"/>
        </w:rPr>
        <w:t>也可作</w:t>
      </w:r>
      <w:r>
        <w:rPr>
          <w:rFonts w:ascii="宋体" w:hAnsi="宋体" w:eastAsia="宋体" w:cs="宋体"/>
          <w:spacing w:val="-2"/>
          <w:sz w:val="28"/>
          <w:szCs w:val="28"/>
        </w:rPr>
        <w:t>为政府应急管理部门监管该加油站安全经营状况的参考资料；同时，并可作</w:t>
      </w:r>
      <w:r>
        <w:rPr>
          <w:rFonts w:ascii="宋体" w:hAnsi="宋体" w:eastAsia="宋体" w:cs="宋体"/>
          <w:spacing w:val="-1"/>
          <w:sz w:val="28"/>
          <w:szCs w:val="28"/>
        </w:rPr>
        <w:t>为该加油站持续改进安全经营条件的参考文件。</w:t>
      </w:r>
    </w:p>
    <w:p w14:paraId="5273BD41">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4" w:name="_Toc15352"/>
      <w:bookmarkStart w:id="5" w:name="_Toc17051"/>
      <w:bookmarkStart w:id="6" w:name="_Toc1673"/>
      <w:r>
        <w:rPr>
          <w:rFonts w:hint="eastAsia" w:ascii="宋体" w:hAnsi="宋体" w:eastAsia="宋体" w:cs="宋体"/>
          <w:b/>
          <w:smallCaps/>
          <w:color w:val="auto"/>
          <w:kern w:val="0"/>
          <w:sz w:val="32"/>
          <w:szCs w:val="32"/>
          <w:lang w:val="en-US" w:eastAsia="zh-CN"/>
        </w:rPr>
        <w:t>1.2评价依据</w:t>
      </w:r>
      <w:bookmarkEnd w:id="4"/>
      <w:bookmarkEnd w:id="5"/>
      <w:bookmarkEnd w:id="6"/>
      <w:bookmarkStart w:id="7" w:name="_Toc10437"/>
      <w:bookmarkStart w:id="8" w:name="_Toc19916"/>
      <w:bookmarkStart w:id="9" w:name="_Toc6037"/>
    </w:p>
    <w:p w14:paraId="72E15ED5">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2"/>
        <w:rPr>
          <w:rFonts w:hint="eastAsia" w:ascii="宋体" w:hAnsi="宋体" w:eastAsia="宋体" w:cs="宋体"/>
          <w:sz w:val="30"/>
          <w:szCs w:val="30"/>
          <w:lang w:val="en-US" w:eastAsia="zh-CN"/>
        </w:rPr>
      </w:pPr>
      <w:bookmarkStart w:id="10" w:name="_Toc1080"/>
      <w:r>
        <w:rPr>
          <w:rFonts w:hint="eastAsia" w:ascii="宋体" w:hAnsi="宋体" w:eastAsia="宋体" w:cs="宋体"/>
          <w:sz w:val="30"/>
          <w:szCs w:val="30"/>
          <w:lang w:val="en-US" w:eastAsia="zh-CN"/>
        </w:rPr>
        <w:t>1.2.1国家法律法规</w:t>
      </w:r>
      <w:bookmarkEnd w:id="7"/>
      <w:bookmarkEnd w:id="8"/>
      <w:bookmarkEnd w:id="9"/>
      <w:bookmarkEnd w:id="10"/>
    </w:p>
    <w:p w14:paraId="53C0928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1.《中华人民共和国安全生产法》（中华人民共和国主席令第88号，2021年9月1日施行）</w:t>
      </w:r>
    </w:p>
    <w:p w14:paraId="348C198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2.《中华人民共和国劳动法》（中华人民共和国主席令第28号，2018年12月29日，第十三届全国人民代表大会常务委员会第七次会议修改）</w:t>
      </w:r>
    </w:p>
    <w:p w14:paraId="71B4F3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3.《中华人民共和国职业病防治法》（中华人民共和国主席令第52号，2018年12月29日，第十三届全国人民代表大会常务委员会第七次会议第四次修正）</w:t>
      </w:r>
    </w:p>
    <w:p w14:paraId="2123B3B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4.《中华人民共和国消防法》（中华人民共和国第29号主席令，中华人民共和国主席令第81号修订，2021年4月29日施行）</w:t>
      </w:r>
    </w:p>
    <w:p w14:paraId="60B05E6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5.《中华人民共和国突发事件应对法》（中华人民共和国主席令第</w:t>
      </w:r>
      <w:r>
        <w:rPr>
          <w:rFonts w:hint="eastAsia" w:ascii="宋体" w:hAnsi="宋体" w:cs="宋体"/>
          <w:color w:val="auto"/>
          <w:kern w:val="0"/>
          <w:sz w:val="28"/>
          <w:szCs w:val="28"/>
          <w:lang w:val="en-US" w:eastAsia="zh-CN"/>
        </w:rPr>
        <w:t>25</w:t>
      </w:r>
      <w:r>
        <w:rPr>
          <w:rFonts w:hint="eastAsia" w:ascii="宋体" w:hAnsi="宋体" w:eastAsia="宋体" w:cs="宋体"/>
          <w:color w:val="auto"/>
          <w:kern w:val="0"/>
          <w:sz w:val="28"/>
          <w:szCs w:val="28"/>
          <w:lang w:val="en-US" w:eastAsia="zh-CN"/>
        </w:rPr>
        <w:t>号，20</w:t>
      </w:r>
      <w:r>
        <w:rPr>
          <w:rFonts w:hint="eastAsia" w:ascii="宋体" w:hAnsi="宋体" w:cs="宋体"/>
          <w:color w:val="auto"/>
          <w:kern w:val="0"/>
          <w:sz w:val="28"/>
          <w:szCs w:val="28"/>
          <w:lang w:val="en-US" w:eastAsia="zh-CN"/>
        </w:rPr>
        <w:t>24</w:t>
      </w:r>
      <w:r>
        <w:rPr>
          <w:rFonts w:hint="eastAsia" w:ascii="宋体" w:hAnsi="宋体" w:eastAsia="宋体" w:cs="宋体"/>
          <w:color w:val="auto"/>
          <w:kern w:val="0"/>
          <w:sz w:val="28"/>
          <w:szCs w:val="28"/>
          <w:lang w:val="en-US" w:eastAsia="zh-CN"/>
        </w:rPr>
        <w:t>年11月1日施行）</w:t>
      </w:r>
    </w:p>
    <w:p w14:paraId="6CAA60F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6</w:t>
      </w:r>
      <w:r>
        <w:rPr>
          <w:rFonts w:hint="eastAsia" w:ascii="宋体" w:hAnsi="宋体" w:eastAsia="宋体" w:cs="宋体"/>
          <w:color w:val="auto"/>
          <w:kern w:val="0"/>
          <w:sz w:val="28"/>
          <w:szCs w:val="28"/>
          <w:lang w:val="en-US" w:eastAsia="zh-CN"/>
        </w:rPr>
        <w:t>.《中华人民共和国反恐怖主义法》（主席令第36号令，根据2018年4月27日第十三届全国人民代表大会常务委员会第二次会议《关于修改〈中华人民共和国国境卫生检疫法〉等六部法律的决定》修正）</w:t>
      </w:r>
    </w:p>
    <w:p w14:paraId="708FDF5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7</w:t>
      </w:r>
      <w:r>
        <w:rPr>
          <w:rFonts w:hint="eastAsia" w:ascii="宋体" w:hAnsi="宋体" w:eastAsia="宋体" w:cs="宋体"/>
          <w:color w:val="auto"/>
          <w:kern w:val="0"/>
          <w:sz w:val="28"/>
          <w:szCs w:val="28"/>
          <w:lang w:val="en-US" w:eastAsia="zh-CN"/>
        </w:rPr>
        <w:t>.《中华人民共和国气象法》（中华人民共和国主席令第23号，2000年1月1日施行）</w:t>
      </w:r>
    </w:p>
    <w:p w14:paraId="1B858BD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8</w:t>
      </w:r>
      <w:r>
        <w:rPr>
          <w:rFonts w:hint="eastAsia" w:ascii="宋体" w:hAnsi="宋体" w:eastAsia="宋体" w:cs="宋体"/>
          <w:color w:val="auto"/>
          <w:kern w:val="0"/>
          <w:sz w:val="28"/>
          <w:szCs w:val="28"/>
          <w:lang w:val="en-US" w:eastAsia="zh-CN"/>
        </w:rPr>
        <w:t>.《中华人民共和国刑法修正案（十一）》（中华人民共和国主席令第</w:t>
      </w:r>
      <w:r>
        <w:rPr>
          <w:rFonts w:hint="eastAsia" w:ascii="宋体" w:hAnsi="宋体" w:cs="宋体"/>
          <w:color w:val="auto"/>
          <w:kern w:val="0"/>
          <w:sz w:val="28"/>
          <w:szCs w:val="28"/>
          <w:lang w:val="en-US" w:eastAsia="zh-CN"/>
        </w:rPr>
        <w:t>66</w:t>
      </w:r>
      <w:r>
        <w:rPr>
          <w:rFonts w:hint="eastAsia" w:ascii="宋体" w:hAnsi="宋体" w:eastAsia="宋体" w:cs="宋体"/>
          <w:color w:val="auto"/>
          <w:kern w:val="0"/>
          <w:sz w:val="28"/>
          <w:szCs w:val="28"/>
          <w:lang w:val="en-US" w:eastAsia="zh-CN"/>
        </w:rPr>
        <w:t>号；自2021年3月1日起施行）</w:t>
      </w:r>
    </w:p>
    <w:p w14:paraId="2B2495B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9</w:t>
      </w:r>
      <w:r>
        <w:rPr>
          <w:rFonts w:hint="eastAsia" w:ascii="宋体" w:hAnsi="宋体" w:eastAsia="宋体" w:cs="宋体"/>
          <w:color w:val="auto"/>
          <w:kern w:val="0"/>
          <w:sz w:val="28"/>
          <w:szCs w:val="28"/>
          <w:lang w:val="en-US" w:eastAsia="zh-CN"/>
        </w:rPr>
        <w:t>.《中华人民共和国大气污染防治法》（主席令第</w:t>
      </w:r>
      <w:r>
        <w:rPr>
          <w:rFonts w:hint="eastAsia" w:ascii="宋体" w:hAnsi="宋体" w:cs="宋体"/>
          <w:color w:val="auto"/>
          <w:kern w:val="0"/>
          <w:sz w:val="28"/>
          <w:szCs w:val="28"/>
          <w:lang w:val="en-US" w:eastAsia="zh-CN"/>
        </w:rPr>
        <w:t>31</w:t>
      </w:r>
      <w:r>
        <w:rPr>
          <w:rFonts w:hint="eastAsia" w:ascii="宋体" w:hAnsi="宋体" w:eastAsia="宋体" w:cs="宋体"/>
          <w:color w:val="auto"/>
          <w:kern w:val="0"/>
          <w:sz w:val="28"/>
          <w:szCs w:val="28"/>
          <w:lang w:val="en-US" w:eastAsia="zh-CN"/>
        </w:rPr>
        <w:t>号令，根据2018年10月26日第十三届全国人民代表大会常务委员会第六次会议《关于修改〈中华人民共和国野生动物保护法〉等十五部法律的决定》第二次修正）</w:t>
      </w:r>
    </w:p>
    <w:p w14:paraId="5F31397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w:t>
      </w:r>
      <w:r>
        <w:rPr>
          <w:rFonts w:hint="eastAsia" w:ascii="宋体" w:hAnsi="宋体" w:cs="宋体"/>
          <w:color w:val="auto"/>
          <w:kern w:val="0"/>
          <w:sz w:val="28"/>
          <w:szCs w:val="28"/>
          <w:lang w:val="en-US" w:eastAsia="zh-CN"/>
        </w:rPr>
        <w:t>0</w:t>
      </w:r>
      <w:r>
        <w:rPr>
          <w:rFonts w:hint="eastAsia" w:ascii="宋体" w:hAnsi="宋体" w:eastAsia="宋体" w:cs="宋体"/>
          <w:color w:val="auto"/>
          <w:kern w:val="0"/>
          <w:sz w:val="28"/>
          <w:szCs w:val="28"/>
          <w:lang w:val="en-US" w:eastAsia="zh-CN"/>
        </w:rPr>
        <w:t>.《中华人民共和国环境保护法》（主席令第22号，2014年4月24日第十二届全国人民代表大会常务委员会第八次会议修订）</w:t>
      </w:r>
    </w:p>
    <w:p w14:paraId="435F8EA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11</w:t>
      </w:r>
      <w:r>
        <w:rPr>
          <w:rFonts w:hint="eastAsia" w:ascii="宋体" w:hAnsi="宋体" w:eastAsia="宋体" w:cs="宋体"/>
          <w:color w:val="auto"/>
          <w:kern w:val="0"/>
          <w:sz w:val="28"/>
          <w:szCs w:val="28"/>
          <w:lang w:val="en-US" w:eastAsia="zh-CN"/>
        </w:rPr>
        <w:t>.《危险化学品安全管理条例》（国务院令第591号，第645号令修改2011年2月16日国务院第144次常务会议修订通过根据2013年12月7日《国务院关于修改部分行政法规的决定》修订）</w:t>
      </w:r>
    </w:p>
    <w:p w14:paraId="7B9E2E4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12</w:t>
      </w:r>
      <w:r>
        <w:rPr>
          <w:rFonts w:hint="eastAsia" w:ascii="宋体" w:hAnsi="宋体" w:eastAsia="宋体" w:cs="宋体"/>
          <w:color w:val="auto"/>
          <w:kern w:val="0"/>
          <w:sz w:val="28"/>
          <w:szCs w:val="28"/>
          <w:lang w:val="en-US" w:eastAsia="zh-CN"/>
        </w:rPr>
        <w:t>.《工伤保险条例》（国务院令第586号，2003年4月27日中华人民共和国国务院令第375号公布根据2010年12月20日《国务院关于修改〈工伤保险条例〉的决定》修订）</w:t>
      </w:r>
    </w:p>
    <w:p w14:paraId="1F3DE9E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13</w:t>
      </w:r>
      <w:r>
        <w:rPr>
          <w:rFonts w:hint="eastAsia" w:ascii="宋体" w:hAnsi="宋体" w:eastAsia="宋体" w:cs="宋体"/>
          <w:color w:val="auto"/>
          <w:kern w:val="0"/>
          <w:sz w:val="28"/>
          <w:szCs w:val="28"/>
          <w:lang w:val="en-US" w:eastAsia="zh-CN"/>
        </w:rPr>
        <w:t>.《生产安全事故应急条例》（中华人民共和国国务院令第708号，2019年4月1日施行）</w:t>
      </w:r>
    </w:p>
    <w:p w14:paraId="1FD564D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w:t>
      </w:r>
      <w:r>
        <w:rPr>
          <w:rFonts w:hint="eastAsia" w:ascii="宋体" w:hAnsi="宋体" w:cs="宋体"/>
          <w:color w:val="auto"/>
          <w:kern w:val="0"/>
          <w:sz w:val="28"/>
          <w:szCs w:val="28"/>
          <w:lang w:val="en-US" w:eastAsia="zh-CN"/>
        </w:rPr>
        <w:t>4</w:t>
      </w:r>
      <w:r>
        <w:rPr>
          <w:rFonts w:hint="eastAsia" w:ascii="宋体" w:hAnsi="宋体" w:eastAsia="宋体" w:cs="宋体"/>
          <w:color w:val="auto"/>
          <w:kern w:val="0"/>
          <w:sz w:val="28"/>
          <w:szCs w:val="28"/>
          <w:lang w:val="en-US" w:eastAsia="zh-CN"/>
        </w:rPr>
        <w:t>.《易制毒化学品管理条例》（国务院令第445号，根据2018年9月18日《国务院关于修改部分行政法规的决定》第三次修订）</w:t>
      </w:r>
    </w:p>
    <w:p w14:paraId="164BC1A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w:t>
      </w:r>
      <w:r>
        <w:rPr>
          <w:rFonts w:hint="eastAsia" w:ascii="宋体" w:hAnsi="宋体" w:cs="宋体"/>
          <w:color w:val="auto"/>
          <w:kern w:val="0"/>
          <w:sz w:val="28"/>
          <w:szCs w:val="28"/>
          <w:lang w:val="en-US" w:eastAsia="zh-CN"/>
        </w:rPr>
        <w:t>5</w:t>
      </w:r>
      <w:r>
        <w:rPr>
          <w:rFonts w:hint="eastAsia" w:ascii="宋体" w:hAnsi="宋体" w:eastAsia="宋体" w:cs="宋体"/>
          <w:color w:val="auto"/>
          <w:kern w:val="0"/>
          <w:sz w:val="28"/>
          <w:szCs w:val="28"/>
          <w:lang w:val="en-US" w:eastAsia="zh-CN"/>
        </w:rPr>
        <w:t>.《中华人民共和国监控化学品条例》（国务院令190号，根据2011年1月8日《国务院关于废止和修改部分行政法规的决定》修订）</w:t>
      </w:r>
    </w:p>
    <w:p w14:paraId="1CD27226">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11" w:name="_Toc19710"/>
      <w:bookmarkStart w:id="12" w:name="_Toc26138"/>
      <w:bookmarkStart w:id="13" w:name="_Toc16612"/>
      <w:bookmarkStart w:id="14" w:name="_Toc21578"/>
      <w:r>
        <w:rPr>
          <w:rFonts w:hint="eastAsia" w:ascii="宋体" w:hAnsi="宋体" w:eastAsia="宋体" w:cs="宋体"/>
          <w:b/>
          <w:sz w:val="30"/>
          <w:szCs w:val="30"/>
          <w:lang w:val="en-US" w:eastAsia="zh-CN"/>
        </w:rPr>
        <w:t>1.2.2部门规章</w:t>
      </w:r>
      <w:bookmarkEnd w:id="11"/>
      <w:bookmarkEnd w:id="12"/>
      <w:bookmarkEnd w:id="13"/>
      <w:bookmarkEnd w:id="14"/>
    </w:p>
    <w:p w14:paraId="111972A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1.《危险化学品经营单位安全评价导则（试行)》（安监管管二字〔2003〕</w:t>
      </w:r>
    </w:p>
    <w:p w14:paraId="67DBCCDC">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38号）；</w:t>
      </w:r>
    </w:p>
    <w:p w14:paraId="0FC1CEB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2.《化工（危险化学品）企业保障生产安全十条规定》《油气罐区防火防爆十条规定》安监总政法（2017）15号，2017年3月6日起执行）；</w:t>
      </w:r>
    </w:p>
    <w:p w14:paraId="705C20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3.《危险化学品经营许可证管理办法》（国家安监总局令第55号公布，第79号修正，自2015年7月1日起施行）；</w:t>
      </w:r>
    </w:p>
    <w:p w14:paraId="00A658E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4.《生产经营单位安全培训规定》（国家安监总局令第3号公布，第80号修正，自2015年7月1日起施行）；</w:t>
      </w:r>
    </w:p>
    <w:p w14:paraId="35F5725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5.《危险化学品建设项目安全监督管理办法》（国家安监总局令第45号公布，79号修正，自2015年7月1日起施行）；</w:t>
      </w:r>
    </w:p>
    <w:p w14:paraId="077EDC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6.《生产安全事故应急预案管理办法》（国家安监总局令第88号公布，应急管理部2号令修订，自2016年7月1日起施行）；</w:t>
      </w:r>
    </w:p>
    <w:p w14:paraId="21F6AD9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7.《特种作业人员安全技术培训考核管理规定》（国家安监总局令第30号公布，第80号修正，自2015年7月1日起施行）；</w:t>
      </w:r>
    </w:p>
    <w:p w14:paraId="63A8211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8.《安全生产培训管理办法》（国家安监总局令第44号公布，第80号修正，自2015年7月1日起施行）；</w:t>
      </w:r>
    </w:p>
    <w:p w14:paraId="2709A85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9.《企业安全生产费用提取和使用管理办法》（财资〔2022〕136号）；</w:t>
      </w:r>
    </w:p>
    <w:p w14:paraId="7F2D28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10.《用人单位劳动防护用品管理规范》（安监总厅安健〔2018〕3号，2018年1月15日起施行）；</w:t>
      </w:r>
    </w:p>
    <w:p w14:paraId="06E6D7C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11.《国家安全监管总局关于公布首批重点监管的危险化学品目录的通知》（安监总管三〔2011〕95号）；</w:t>
      </w:r>
    </w:p>
    <w:p w14:paraId="443C33A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12.《国家安全监管总局办公厅关于印发首批重点监管的危险化学品安全措施和应急处置原则的通知》（安监总厅管三〔2011〕142号）；</w:t>
      </w:r>
    </w:p>
    <w:p w14:paraId="7C12ED9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13.《特别管控危险化学品目录（第一版）》（应急管理部、工业和信息化部、公安部、交通运输部公告2020年第1号）；</w:t>
      </w:r>
    </w:p>
    <w:p w14:paraId="279BE71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14.《企业安全生产责任体系五落实五到位规定》（安监总办〔2015〕27号，2015年3月16日公布）；</w:t>
      </w:r>
    </w:p>
    <w:p w14:paraId="36915C9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15.《国家安全监管总局办公厅关于进一步加强加油站安全生产工作的通知》（安监总厅管三〔2016〕8号，自2016年2月5日起施行）；</w:t>
      </w:r>
    </w:p>
    <w:p w14:paraId="7FF9878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16.《化工和危险化学品生产经营单位重大生产安全事故隐患判定标准（试行）》（安监总管三〔2017〕121号）；</w:t>
      </w:r>
    </w:p>
    <w:p w14:paraId="212F180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17.《调整〈危险化学品目录（2015版）〉，将“1674柴油[闭杯闪点≤60℃]”调整为“1674柴油”》（中华人民共和国应急管理部、中华人民共和国工业和信息化部、中华人民共和国公安部等十部委公告2022年第8号）；</w:t>
      </w:r>
    </w:p>
    <w:p w14:paraId="372E0E0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18.《生产安全事故罚款处罚规定》（中华人民共和国应急管理部令（第14号））</w:t>
      </w:r>
      <w:r>
        <w:rPr>
          <w:rFonts w:hint="eastAsia" w:ascii="宋体" w:hAnsi="宋体" w:cs="宋体"/>
          <w:color w:val="auto"/>
          <w:kern w:val="0"/>
          <w:sz w:val="28"/>
          <w:szCs w:val="28"/>
          <w:lang w:val="en-US" w:eastAsia="zh-CN"/>
        </w:rPr>
        <w:t>；</w:t>
      </w:r>
    </w:p>
    <w:p w14:paraId="174D7F6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default" w:ascii="宋体" w:hAnsi="宋体" w:eastAsia="宋体" w:cs="宋体"/>
          <w:color w:val="auto"/>
          <w:kern w:val="0"/>
          <w:sz w:val="28"/>
          <w:szCs w:val="28"/>
          <w:lang w:val="en-US" w:eastAsia="zh-CN"/>
        </w:rPr>
      </w:pPr>
      <w:r>
        <w:rPr>
          <w:rFonts w:hint="eastAsia" w:ascii="宋体" w:hAnsi="宋体" w:eastAsia="宋体" w:cs="宋体"/>
          <w:color w:val="0000FF"/>
          <w:kern w:val="0"/>
          <w:sz w:val="28"/>
          <w:szCs w:val="28"/>
          <w:shd w:val="clear" w:color="FFFFFF" w:fill="D9D9D9"/>
          <w:lang w:val="en-US" w:eastAsia="zh-CN"/>
        </w:rPr>
        <w:t>19.《安全生产责任保险实施办法》（应急〔2025〕27号）。</w:t>
      </w:r>
    </w:p>
    <w:p w14:paraId="6A845ABB">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15" w:name="_Toc27921"/>
      <w:bookmarkStart w:id="16" w:name="_Toc3697"/>
      <w:bookmarkStart w:id="17" w:name="_Toc23709"/>
      <w:bookmarkStart w:id="18" w:name="_Toc13321"/>
      <w:r>
        <w:rPr>
          <w:rFonts w:hint="eastAsia" w:ascii="宋体" w:hAnsi="宋体" w:eastAsia="宋体" w:cs="宋体"/>
          <w:b/>
          <w:sz w:val="30"/>
          <w:szCs w:val="30"/>
          <w:lang w:val="en-US" w:eastAsia="zh-CN"/>
        </w:rPr>
        <w:t>1.2.3地方性法规及文件</w:t>
      </w:r>
      <w:bookmarkEnd w:id="15"/>
      <w:bookmarkEnd w:id="16"/>
      <w:bookmarkEnd w:id="17"/>
      <w:bookmarkEnd w:id="18"/>
    </w:p>
    <w:p w14:paraId="2ED33C0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1．《云南省安全生产条例》（云南省第十二届人民代表大会常务委员会公告第63号，2018年1月1日起施行）；</w:t>
      </w:r>
    </w:p>
    <w:p w14:paraId="2CD2096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2．《云南省消防条例》（云南省第十一届人民代表大会常务委员会第十九次会议修订通过，实施日期：2011年1月1日）；</w:t>
      </w:r>
    </w:p>
    <w:p w14:paraId="272F92D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3．《云南省安全生产监督管理局关于印发云南省危险化学品生产（储存）企业安全风险分级标准和安全风险分级指导标准的通知》（云安监管〔2017〕75号，2017年11月29日）；</w:t>
      </w:r>
    </w:p>
    <w:p w14:paraId="1C0914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4．《云南省安委会办公室关于切实做好危险化学品安全生产专项整治行动的通知》（云安办函〔2017〕93号）；</w:t>
      </w:r>
    </w:p>
    <w:p w14:paraId="1ADB9E2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5．《关于印发云南省危险化学品安全综合治理实施方案的通知》（云政办函〔2017〕17号）；</w:t>
      </w:r>
    </w:p>
    <w:p w14:paraId="2D97252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6．《关于进一步推进危险化学品（化工）等行业安全生产大检查长效机制建设的通知》（云安监管﹝2016﹞1号）；</w:t>
      </w:r>
    </w:p>
    <w:p w14:paraId="7019962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7．《云南省安全生产委员会办公室关于印发生产安全事故隐患排查治理实施细则的通知》（云安办〔2017〕66号）；</w:t>
      </w:r>
    </w:p>
    <w:p w14:paraId="4C62A25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8．《云南省安全生产监督管理局关于危险化学品经营行政许可有关事项的通知》（云安监管〔2013〕13号）；</w:t>
      </w:r>
    </w:p>
    <w:p w14:paraId="47029FF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9．《云南省生产经营单位安全生产主体责任规定》（云政规〔2022〕4号）；</w:t>
      </w:r>
    </w:p>
    <w:p w14:paraId="18BBBF9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10．《关于转发国家加快推进加油站地下油罐防渗改造工作文件的通知》（云环发〔2017〕50号，2017年12月27日下发）。</w:t>
      </w:r>
    </w:p>
    <w:p w14:paraId="4E14E7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auto"/>
          <w:kern w:val="0"/>
          <w:sz w:val="28"/>
          <w:szCs w:val="28"/>
          <w:lang w:val="en-US" w:eastAsia="zh-CN"/>
        </w:rPr>
      </w:pPr>
      <w:r>
        <w:rPr>
          <w:rFonts w:hint="eastAsia" w:ascii="宋体" w:hAnsi="宋体" w:eastAsia="宋体" w:cs="宋体"/>
          <w:color w:val="auto"/>
          <w:kern w:val="0"/>
          <w:sz w:val="28"/>
          <w:szCs w:val="28"/>
          <w:lang w:val="en-US" w:eastAsia="zh-CN"/>
        </w:rPr>
        <w:t>11.《云南省生产安全事故应急办法》（云南省人民政府令第227号）</w:t>
      </w:r>
      <w:r>
        <w:rPr>
          <w:rFonts w:hint="eastAsia" w:ascii="宋体" w:hAnsi="宋体" w:cs="宋体"/>
          <w:color w:val="auto"/>
          <w:kern w:val="0"/>
          <w:sz w:val="28"/>
          <w:szCs w:val="28"/>
          <w:lang w:val="en-US" w:eastAsia="zh-CN"/>
        </w:rPr>
        <w:t>。</w:t>
      </w:r>
    </w:p>
    <w:p w14:paraId="356A982B">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19" w:name="_Toc23042"/>
      <w:bookmarkStart w:id="20" w:name="_Toc16056"/>
      <w:bookmarkStart w:id="21" w:name="_Toc3976"/>
      <w:bookmarkStart w:id="22" w:name="_Toc29742"/>
      <w:r>
        <w:rPr>
          <w:rFonts w:hint="eastAsia" w:ascii="宋体" w:hAnsi="宋体" w:eastAsia="宋体" w:cs="宋体"/>
          <w:b/>
          <w:sz w:val="30"/>
          <w:szCs w:val="30"/>
          <w:lang w:val="en-US" w:eastAsia="zh-CN"/>
        </w:rPr>
        <w:t>1.2.4国家标准</w:t>
      </w:r>
      <w:bookmarkEnd w:id="19"/>
      <w:bookmarkEnd w:id="20"/>
      <w:bookmarkEnd w:id="21"/>
      <w:bookmarkEnd w:id="22"/>
    </w:p>
    <w:p w14:paraId="0C08565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1.《汽车加油加气加氢站技术标准》（GB50156-2021）；</w:t>
      </w:r>
    </w:p>
    <w:p w14:paraId="139E9FA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2.《燃油加油站防爆安全技术第1部分：燃油加油机防爆安全技术要求》（GB/T 22380.1-2017）；</w:t>
      </w:r>
    </w:p>
    <w:p w14:paraId="12ADEDF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3.《燃油加油站防爆安全技术第2部分：加油机用安全拉断阀结构和性能的安全要求》（GB/T 22380.2-2019）；</w:t>
      </w:r>
    </w:p>
    <w:p w14:paraId="65DE36C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4.《油气回收装置通用技术条件》（GB/T35579-2017）；</w:t>
      </w:r>
    </w:p>
    <w:p w14:paraId="209ED60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5.《油气回收系统防爆技术要求》（GB/T34661-2017）；</w:t>
      </w:r>
    </w:p>
    <w:p w14:paraId="1E1C21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6.《易燃易爆性商品储存养护技术条件》（GB17914-2013）；</w:t>
      </w:r>
    </w:p>
    <w:p w14:paraId="7514EC5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7.《化学品危险性评价通则》（GB/T22225-2008）；</w:t>
      </w:r>
    </w:p>
    <w:p w14:paraId="7E41A93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8.《建筑设计防火规范（2018年版）》（GB50016-2014）；</w:t>
      </w:r>
    </w:p>
    <w:p w14:paraId="5B3B771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9.《危险化学品目录》（2022年调整版）；</w:t>
      </w:r>
    </w:p>
    <w:p w14:paraId="1DE3E50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10.《危险化学品重大危险源辨识》（GB18218-2018）；</w:t>
      </w:r>
    </w:p>
    <w:p w14:paraId="70A22E6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11.《建筑物防雷设计规范》（GB50057-2010）；</w:t>
      </w:r>
    </w:p>
    <w:p w14:paraId="7CA575D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shd w:val="clear" w:color="auto" w:fill="auto"/>
          <w:lang w:val="en-US" w:eastAsia="zh-CN"/>
        </w:rPr>
      </w:pPr>
      <w:r>
        <w:rPr>
          <w:rFonts w:hint="eastAsia" w:ascii="宋体" w:hAnsi="宋体" w:eastAsia="宋体" w:cs="宋体"/>
          <w:color w:val="auto"/>
          <w:kern w:val="0"/>
          <w:sz w:val="28"/>
          <w:szCs w:val="28"/>
          <w:shd w:val="clear" w:color="auto" w:fill="auto"/>
          <w:lang w:val="en-US" w:eastAsia="zh-CN"/>
        </w:rPr>
        <w:t>12.</w:t>
      </w:r>
      <w:r>
        <w:rPr>
          <w:rFonts w:hint="eastAsia" w:ascii="宋体" w:hAnsi="宋体" w:cs="宋体"/>
          <w:color w:val="auto"/>
          <w:kern w:val="0"/>
          <w:sz w:val="28"/>
          <w:szCs w:val="28"/>
          <w:shd w:val="clear" w:color="auto" w:fill="auto"/>
          <w:lang w:val="en-US" w:eastAsia="zh-CN"/>
        </w:rPr>
        <w:t>《建筑抗震设计规范》GB/T 50011-2010（2024 年版）</w:t>
      </w:r>
      <w:r>
        <w:rPr>
          <w:rFonts w:hint="eastAsia" w:ascii="宋体" w:hAnsi="宋体" w:eastAsia="宋体" w:cs="宋体"/>
          <w:color w:val="auto"/>
          <w:kern w:val="0"/>
          <w:sz w:val="28"/>
          <w:szCs w:val="28"/>
          <w:shd w:val="clear" w:color="auto" w:fill="auto"/>
          <w:lang w:val="en-US" w:eastAsia="zh-CN"/>
        </w:rPr>
        <w:t>；</w:t>
      </w:r>
    </w:p>
    <w:p w14:paraId="0A5E306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13.《构筑物抗震设计规范》（GB50191-2012）；</w:t>
      </w:r>
    </w:p>
    <w:p w14:paraId="428FA69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14.《防止静电事故通用导则》（GB12158-2006）；</w:t>
      </w:r>
    </w:p>
    <w:p w14:paraId="12953FA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15.《工业企业总平面设计规范》（GB50187-2012）；</w:t>
      </w:r>
    </w:p>
    <w:p w14:paraId="220A23A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16.《消防安全标志设置要求》（GB15630-1995）；</w:t>
      </w:r>
    </w:p>
    <w:p w14:paraId="28793E0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17.《消防安全标志第1部分：标志》（GB13495.1-2015）；</w:t>
      </w:r>
    </w:p>
    <w:p w14:paraId="425C50A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18.《安全标志及其使用导则》（GB2894-2008）；</w:t>
      </w:r>
    </w:p>
    <w:p w14:paraId="479BA16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19.《危险货物品名表》（GB12268-2012）；</w:t>
      </w:r>
    </w:p>
    <w:p w14:paraId="726957C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20.《化学品分类和标签规范第7部分：易燃液体》（GB30000.7-2013）；</w:t>
      </w:r>
    </w:p>
    <w:p w14:paraId="6A5F931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21.《建筑灭火器配置设计规范》（GB50140-2005）；</w:t>
      </w:r>
    </w:p>
    <w:p w14:paraId="7366D08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22.《爆炸危险环境电力装置设计规范》（GB50058-2014）；</w:t>
      </w:r>
    </w:p>
    <w:p w14:paraId="4BC2C39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23.《企业职工伤亡事故分类》（GB6441-1986）；</w:t>
      </w:r>
    </w:p>
    <w:p w14:paraId="7E01BD5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24.《生产过程危险和有害因素分类与代码》（GB/T13861-2022）；</w:t>
      </w:r>
    </w:p>
    <w:p w14:paraId="128E16B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25.《供配电系统设计规范》(GB50052-2009)；</w:t>
      </w:r>
    </w:p>
    <w:p w14:paraId="633D28B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26.《液体石油产品静电安全规程》（GB13348-2009）；</w:t>
      </w:r>
    </w:p>
    <w:p w14:paraId="682350D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27.《生产经营单位生产安全事故应急预案编制导则》（GB/T29639-2020）；</w:t>
      </w:r>
    </w:p>
    <w:p w14:paraId="1D0EE6A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28.《危险化学品企业特殊作业安全规程》（GB30871-2022）</w:t>
      </w:r>
    </w:p>
    <w:p w14:paraId="4F989C5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29.《车用柴油》（GB19147-2016）；</w:t>
      </w:r>
    </w:p>
    <w:p w14:paraId="27F18D7B">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30.《车用汽油》（GB17930-2016）。</w:t>
      </w:r>
    </w:p>
    <w:p w14:paraId="40182C84">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23" w:name="_Toc26706"/>
      <w:bookmarkStart w:id="24" w:name="_Toc13985"/>
      <w:bookmarkStart w:id="25" w:name="_Toc22056"/>
      <w:bookmarkStart w:id="26" w:name="_Toc15486"/>
      <w:r>
        <w:rPr>
          <w:rFonts w:hint="eastAsia" w:ascii="宋体" w:hAnsi="宋体" w:eastAsia="宋体" w:cs="宋体"/>
          <w:b/>
          <w:sz w:val="30"/>
          <w:szCs w:val="30"/>
          <w:lang w:val="en-US" w:eastAsia="zh-CN"/>
        </w:rPr>
        <w:t>1.2.5行业标准</w:t>
      </w:r>
      <w:bookmarkEnd w:id="23"/>
      <w:bookmarkEnd w:id="24"/>
      <w:bookmarkEnd w:id="25"/>
      <w:bookmarkEnd w:id="26"/>
    </w:p>
    <w:p w14:paraId="1B8DCF5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1.《安全评价通则》（AQ8001-2007）；</w:t>
      </w:r>
    </w:p>
    <w:p w14:paraId="59D0EFE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2.《加油站作业安全规范》（AQ3010-2022）；</w:t>
      </w:r>
    </w:p>
    <w:p w14:paraId="78C5E9C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3.《危险场所电气安全防爆规范》（AQ3009-2007）；</w:t>
      </w:r>
    </w:p>
    <w:p w14:paraId="0FEE827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4.《危险化学品储罐区作业安全通则》（AQ3018-2008）；</w:t>
      </w:r>
    </w:p>
    <w:p w14:paraId="0BA66F8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5.《石油化工静电接地设计规范》（SH/T3097-2017）；</w:t>
      </w:r>
    </w:p>
    <w:p w14:paraId="238A407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6.《钢制化工容器结构设计规定》（HG/T20583-2011）；</w:t>
      </w:r>
    </w:p>
    <w:p w14:paraId="3CDD088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7.《钢制化工容器制造技术要求》（HG/T20584-2011）；</w:t>
      </w:r>
    </w:p>
    <w:p w14:paraId="30D8EC0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8.《钢制焊接常压容器》（NB/T47003.1-2009）；</w:t>
      </w:r>
    </w:p>
    <w:p w14:paraId="0F8843E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9.《危险化学品从业单位安全标准化通用规范》（AQ3013-2008）；</w:t>
      </w:r>
    </w:p>
    <w:p w14:paraId="77195E3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10.《钢制常压储罐第一部分：储存对水有污染的易燃和不易燃液体的埋地卧式圆筒形单层和双层储罐》（AQ3020-2008）；</w:t>
      </w:r>
    </w:p>
    <w:p w14:paraId="4775C88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11.《汽车加油加气站消防安全管理》（XF∕T3004-2020）。</w:t>
      </w:r>
    </w:p>
    <w:p w14:paraId="69D1FC79">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27" w:name="_Toc31653"/>
      <w:bookmarkStart w:id="28" w:name="_Toc17551"/>
      <w:bookmarkStart w:id="29" w:name="_Toc7324"/>
      <w:bookmarkStart w:id="30" w:name="_Toc13842"/>
      <w:r>
        <w:rPr>
          <w:rFonts w:hint="eastAsia" w:ascii="宋体" w:hAnsi="宋体" w:eastAsia="宋体" w:cs="宋体"/>
          <w:b/>
          <w:sz w:val="30"/>
          <w:szCs w:val="30"/>
          <w:lang w:val="en-US" w:eastAsia="zh-CN"/>
        </w:rPr>
        <w:t>1.2.6其它依据</w:t>
      </w:r>
      <w:bookmarkEnd w:id="27"/>
      <w:bookmarkEnd w:id="28"/>
      <w:bookmarkEnd w:id="29"/>
      <w:bookmarkEnd w:id="30"/>
    </w:p>
    <w:p w14:paraId="601964E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1.安全评价委托书；</w:t>
      </w:r>
    </w:p>
    <w:p w14:paraId="1F93F89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2.《营业执照》；</w:t>
      </w:r>
    </w:p>
    <w:p w14:paraId="6D38C86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3.《危险化学品经营许可证》；</w:t>
      </w:r>
    </w:p>
    <w:p w14:paraId="059B482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4.《成品油零售经营批准证书》；</w:t>
      </w:r>
    </w:p>
    <w:p w14:paraId="0BE4B13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5.评价组现场收集的其他资料。</w:t>
      </w:r>
    </w:p>
    <w:p w14:paraId="54D934E5">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2147483648"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31" w:name="_Toc8238"/>
      <w:bookmarkStart w:id="32" w:name="_Toc3173"/>
      <w:bookmarkStart w:id="33" w:name="_Toc2465"/>
      <w:bookmarkStart w:id="34" w:name="_Toc32320"/>
      <w:r>
        <w:rPr>
          <w:rFonts w:hint="eastAsia" w:ascii="宋体" w:hAnsi="宋体" w:eastAsia="宋体" w:cs="宋体"/>
          <w:b/>
          <w:smallCaps/>
          <w:color w:val="auto"/>
          <w:kern w:val="0"/>
          <w:sz w:val="32"/>
          <w:szCs w:val="32"/>
          <w:lang w:val="en-US" w:eastAsia="zh-CN"/>
        </w:rPr>
        <w:t>1.3评价原则</w:t>
      </w:r>
      <w:bookmarkEnd w:id="31"/>
      <w:bookmarkEnd w:id="32"/>
      <w:bookmarkEnd w:id="33"/>
      <w:bookmarkEnd w:id="34"/>
    </w:p>
    <w:p w14:paraId="69C289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依据《安全评价通则》（AQ8001-2007）和《安全评价检测检验机构管理办法》（应急管理部令第1号），安全评价机构及其从业人员应当依照法律、法规、规章、标准，遵循科学公正、独立客观、安全准确、诚实守信的原则和执业准则，独立开展安全评价，并对其作出的安全评价结果负责。</w:t>
      </w:r>
    </w:p>
    <w:p w14:paraId="2B03CF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评价机构在对该企业安全评价工作中，坚持以下原则：</w:t>
      </w:r>
    </w:p>
    <w:p w14:paraId="016F608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1.严格执行国家现行有关法律、法规、标准和规范的要求，保证对该企业申请危险化学品经营许可证应当具备的安全生产条件进行科学、公正、合法、自主的评价；</w:t>
      </w:r>
    </w:p>
    <w:p w14:paraId="17B6A98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2.执行行业现行有关法规、标准、规范和政策的要求，保证评价与当地经济发展的适应性；</w:t>
      </w:r>
    </w:p>
    <w:p w14:paraId="407FB81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Times New Roman" w:hAnsi="Times New Roman" w:eastAsia="宋体" w:cs="Times New Roman"/>
          <w:kern w:val="2"/>
          <w:sz w:val="21"/>
          <w:szCs w:val="24"/>
          <w:lang w:val="en-US" w:eastAsia="zh-CN" w:bidi="ar-SA"/>
        </w:rPr>
      </w:pPr>
      <w:r>
        <w:rPr>
          <w:rFonts w:hint="eastAsia" w:ascii="宋体" w:hAnsi="宋体" w:eastAsia="宋体" w:cs="宋体"/>
          <w:color w:val="auto"/>
          <w:kern w:val="0"/>
          <w:sz w:val="28"/>
          <w:szCs w:val="28"/>
          <w:lang w:val="en-US" w:eastAsia="zh-CN"/>
        </w:rPr>
        <w:t>3.采用可靠、适用的评价技术和评价方法，保证评价的针对性，确保评价质量；</w:t>
      </w:r>
    </w:p>
    <w:p w14:paraId="469D168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4.遵守职业道德，遵循诚实守信的原则，对被评价企业的技术资料和商业运作保密。</w:t>
      </w:r>
    </w:p>
    <w:p w14:paraId="6DA771EA">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35" w:name="_Toc10608"/>
      <w:bookmarkStart w:id="36" w:name="_Toc24295"/>
      <w:bookmarkStart w:id="37" w:name="_Toc15948"/>
      <w:bookmarkStart w:id="38" w:name="_Toc16794"/>
      <w:r>
        <w:rPr>
          <w:rFonts w:hint="eastAsia" w:ascii="宋体" w:hAnsi="宋体" w:eastAsia="宋体" w:cs="宋体"/>
          <w:b/>
          <w:smallCaps/>
          <w:color w:val="auto"/>
          <w:kern w:val="0"/>
          <w:sz w:val="32"/>
          <w:szCs w:val="32"/>
          <w:lang w:val="en-US" w:eastAsia="zh-CN"/>
        </w:rPr>
        <w:t>1.4评价范围</w:t>
      </w:r>
      <w:bookmarkEnd w:id="35"/>
      <w:bookmarkEnd w:id="36"/>
      <w:bookmarkEnd w:id="37"/>
      <w:bookmarkEnd w:id="38"/>
    </w:p>
    <w:p w14:paraId="7C25CF7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本次安全评价的范围为：加油站站址、站内平面布置、加油工艺、设备安全设施、公辅设施及安全管理等内容。</w:t>
      </w:r>
    </w:p>
    <w:p w14:paraId="56DEDE5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涉及该加油站的站外运输、环境保护、职业卫生及该加油站除成品油经营外的其它经营业务等不在本次评价范围内，但在本报告中将有所提及。</w:t>
      </w:r>
    </w:p>
    <w:p w14:paraId="2D1F1AFE">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39" w:name="_Toc26339"/>
      <w:bookmarkStart w:id="40" w:name="_Toc22619"/>
      <w:bookmarkStart w:id="41" w:name="_Toc13980"/>
      <w:bookmarkStart w:id="42" w:name="_Toc21323"/>
      <w:r>
        <w:rPr>
          <w:rFonts w:hint="eastAsia" w:ascii="宋体" w:hAnsi="宋体" w:eastAsia="宋体" w:cs="宋体"/>
          <w:b/>
          <w:smallCaps/>
          <w:color w:val="auto"/>
          <w:kern w:val="0"/>
          <w:sz w:val="32"/>
          <w:szCs w:val="32"/>
          <w:lang w:val="en-US" w:eastAsia="zh-CN"/>
        </w:rPr>
        <w:t>1.5评价程序</w:t>
      </w:r>
      <w:bookmarkEnd w:id="39"/>
      <w:bookmarkEnd w:id="40"/>
      <w:bookmarkEnd w:id="41"/>
      <w:bookmarkEnd w:id="42"/>
    </w:p>
    <w:p w14:paraId="11955313">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200"/>
        <w:textAlignment w:val="auto"/>
        <w:rPr>
          <w:rFonts w:hint="eastAsia" w:ascii="宋体" w:hAnsi="宋体" w:eastAsia="宋体" w:cs="宋体"/>
          <w:color w:val="auto"/>
          <w:kern w:val="0"/>
          <w:sz w:val="28"/>
          <w:szCs w:val="28"/>
          <w:lang w:val="en-US" w:eastAsia="zh-CN"/>
        </w:rPr>
      </w:pPr>
      <w:r>
        <w:rPr>
          <w:rFonts w:hint="default"/>
          <w:lang w:val="en-US" w:eastAsia="zh-CN"/>
        </w:rPr>
        <w:pict>
          <v:shape id="_x0000_s1026" o:spid="_x0000_s1026" o:spt="75" type="#_x0000_t75" style="position:absolute;left:0pt;margin-left:121.95pt;margin-top:128.15pt;height:290.2pt;width:210.35pt;mso-wrap-distance-bottom:0pt;mso-wrap-distance-left:9pt;mso-wrap-distance-right:9pt;mso-wrap-distance-top:0pt;z-index:251661312;mso-width-relative:page;mso-height-relative:page;" o:ole="t" filled="f" o:preferrelative="t" stroked="f" coordsize="21600,21600">
            <v:path/>
            <v:fill on="f" focussize="0,0"/>
            <v:stroke on="f"/>
            <v:imagedata r:id="rId25" o:title=""/>
            <o:lock v:ext="edit" aspectratio="f"/>
            <w10:wrap type="square"/>
          </v:shape>
          <o:OLEObject Type="Embed" ProgID="Visio.Drawing.11" ShapeID="_x0000_s1026" DrawAspect="Content" ObjectID="_1468075725" r:id="rId24">
            <o:LockedField>false</o:LockedField>
          </o:OLEObject>
        </w:pict>
      </w:r>
      <w:r>
        <w:rPr>
          <w:rFonts w:hint="eastAsia" w:ascii="宋体" w:hAnsi="宋体" w:eastAsia="宋体" w:cs="宋体"/>
          <w:color w:val="auto"/>
          <w:kern w:val="0"/>
          <w:sz w:val="28"/>
          <w:szCs w:val="28"/>
          <w:lang w:val="en-US" w:eastAsia="zh-CN"/>
        </w:rPr>
        <w:t>根据《安全评价通则》（AQ8001-2007）的相关规定，安全评价的程序主要分为前期准备；辨识与分析危险、有害因素；划分评价单元；选择评价方法；定性定量评价；提出安全对策措施建议；得出安全评价的结论；编制安全评价报告等。安全评价的程序如图1-1所示：</w:t>
      </w:r>
    </w:p>
    <w:p w14:paraId="3E3B35A4">
      <w:pPr>
        <w:pageBreakBefore w:val="0"/>
        <w:widowControl w:val="0"/>
        <w:kinsoku/>
        <w:wordWrap/>
        <w:overflowPunct/>
        <w:topLinePunct w:val="0"/>
        <w:autoSpaceDE/>
        <w:autoSpaceDN/>
        <w:bidi w:val="0"/>
        <w:spacing w:line="600" w:lineRule="exact"/>
        <w:textAlignment w:val="auto"/>
        <w:rPr>
          <w:rFonts w:hint="default"/>
          <w:lang w:val="en-US" w:eastAsia="zh-CN"/>
        </w:rPr>
      </w:pPr>
    </w:p>
    <w:p w14:paraId="6165558C">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eastAsia="宋体" w:cs="宋体"/>
          <w:sz w:val="28"/>
          <w:szCs w:val="28"/>
        </w:rPr>
      </w:pPr>
    </w:p>
    <w:p w14:paraId="42BCFCC5">
      <w:pPr>
        <w:pageBreakBefore w:val="0"/>
        <w:widowControl w:val="0"/>
        <w:kinsoku/>
        <w:wordWrap/>
        <w:overflowPunct/>
        <w:topLinePunct w:val="0"/>
        <w:autoSpaceDE/>
        <w:autoSpaceDN/>
        <w:bidi w:val="0"/>
        <w:spacing w:line="600" w:lineRule="exact"/>
        <w:textAlignment w:val="auto"/>
        <w:rPr>
          <w:rFonts w:hint="eastAsia" w:ascii="Times New Roman" w:hAnsi="Times New Roman" w:eastAsia="宋体" w:cs="Times New Roman"/>
          <w:kern w:val="2"/>
          <w:sz w:val="21"/>
          <w:szCs w:val="24"/>
          <w:lang w:val="en-US" w:eastAsia="zh-CN" w:bidi="ar-SA"/>
        </w:rPr>
      </w:pPr>
    </w:p>
    <w:p w14:paraId="053271D1">
      <w:pPr>
        <w:pageBreakBefore w:val="0"/>
        <w:widowControl w:val="0"/>
        <w:kinsoku/>
        <w:wordWrap/>
        <w:overflowPunct/>
        <w:topLinePunct w:val="0"/>
        <w:autoSpaceDE/>
        <w:autoSpaceDN/>
        <w:bidi w:val="0"/>
        <w:spacing w:line="600" w:lineRule="exact"/>
        <w:textAlignment w:val="auto"/>
        <w:rPr>
          <w:rFonts w:hint="eastAsia"/>
          <w:lang w:val="en-US" w:eastAsia="zh-CN"/>
        </w:rPr>
      </w:pPr>
    </w:p>
    <w:p w14:paraId="26744864">
      <w:pPr>
        <w:pageBreakBefore w:val="0"/>
        <w:widowControl w:val="0"/>
        <w:kinsoku/>
        <w:wordWrap/>
        <w:overflowPunct/>
        <w:topLinePunct w:val="0"/>
        <w:autoSpaceDE/>
        <w:autoSpaceDN/>
        <w:bidi w:val="0"/>
        <w:spacing w:line="600" w:lineRule="exact"/>
        <w:textAlignment w:val="auto"/>
        <w:rPr>
          <w:rFonts w:hint="eastAsia"/>
          <w:lang w:val="en-US" w:eastAsia="zh-CN"/>
        </w:rPr>
      </w:pPr>
    </w:p>
    <w:p w14:paraId="4B21E392">
      <w:pPr>
        <w:pageBreakBefore w:val="0"/>
        <w:widowControl w:val="0"/>
        <w:kinsoku/>
        <w:wordWrap/>
        <w:overflowPunct/>
        <w:topLinePunct w:val="0"/>
        <w:autoSpaceDE/>
        <w:autoSpaceDN/>
        <w:bidi w:val="0"/>
        <w:spacing w:line="600" w:lineRule="exact"/>
        <w:textAlignment w:val="auto"/>
        <w:rPr>
          <w:rFonts w:hint="eastAsia"/>
          <w:lang w:val="en-US" w:eastAsia="zh-CN"/>
        </w:rPr>
      </w:pPr>
    </w:p>
    <w:p w14:paraId="108D9269">
      <w:pPr>
        <w:pageBreakBefore w:val="0"/>
        <w:widowControl w:val="0"/>
        <w:kinsoku/>
        <w:wordWrap/>
        <w:overflowPunct/>
        <w:topLinePunct w:val="0"/>
        <w:autoSpaceDE/>
        <w:autoSpaceDN/>
        <w:bidi w:val="0"/>
        <w:spacing w:line="600" w:lineRule="exact"/>
        <w:textAlignment w:val="auto"/>
        <w:rPr>
          <w:rFonts w:hint="eastAsia"/>
          <w:lang w:val="en-US" w:eastAsia="zh-CN"/>
        </w:rPr>
      </w:pPr>
    </w:p>
    <w:p w14:paraId="15D74476">
      <w:pPr>
        <w:pageBreakBefore w:val="0"/>
        <w:widowControl w:val="0"/>
        <w:kinsoku/>
        <w:wordWrap/>
        <w:overflowPunct/>
        <w:topLinePunct w:val="0"/>
        <w:autoSpaceDE/>
        <w:autoSpaceDN/>
        <w:bidi w:val="0"/>
        <w:spacing w:line="600" w:lineRule="exact"/>
        <w:textAlignment w:val="auto"/>
        <w:rPr>
          <w:rFonts w:hint="eastAsia"/>
          <w:lang w:val="en-US" w:eastAsia="zh-CN"/>
        </w:rPr>
      </w:pPr>
    </w:p>
    <w:p w14:paraId="1EABDC7B">
      <w:pPr>
        <w:pageBreakBefore w:val="0"/>
        <w:widowControl w:val="0"/>
        <w:kinsoku/>
        <w:wordWrap/>
        <w:overflowPunct/>
        <w:topLinePunct w:val="0"/>
        <w:autoSpaceDE/>
        <w:autoSpaceDN/>
        <w:bidi w:val="0"/>
        <w:spacing w:line="600" w:lineRule="exact"/>
        <w:textAlignment w:val="auto"/>
        <w:rPr>
          <w:rFonts w:hint="eastAsia"/>
          <w:lang w:val="en-US" w:eastAsia="zh-CN"/>
        </w:rPr>
      </w:pPr>
    </w:p>
    <w:p w14:paraId="63932845">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43" w:name="_Toc7591"/>
      <w:bookmarkStart w:id="44" w:name="_Toc25833"/>
      <w:bookmarkStart w:id="45" w:name="_Toc15528"/>
      <w:bookmarkStart w:id="46" w:name="_Toc24870"/>
    </w:p>
    <w:p w14:paraId="472D5F03">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r>
        <w:rPr>
          <w:rFonts w:hint="eastAsia" w:ascii="宋体" w:hAnsi="宋体" w:eastAsia="宋体" w:cs="宋体"/>
          <w:b/>
          <w:smallCaps/>
          <w:color w:val="auto"/>
          <w:kern w:val="0"/>
          <w:sz w:val="32"/>
          <w:szCs w:val="32"/>
          <w:lang w:val="en-US" w:eastAsia="zh-CN"/>
        </w:rPr>
        <w:t>1.6评价基准日</w:t>
      </w:r>
      <w:bookmarkEnd w:id="43"/>
      <w:bookmarkEnd w:id="44"/>
      <w:bookmarkEnd w:id="45"/>
      <w:bookmarkEnd w:id="46"/>
    </w:p>
    <w:p w14:paraId="167F25A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000000" w:themeColor="text1"/>
          <w:kern w:val="0"/>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kern w:val="0"/>
          <w:sz w:val="28"/>
          <w:szCs w:val="28"/>
          <w:shd w:val="clear" w:color="auto" w:fill="auto"/>
          <w:lang w:val="en-US" w:eastAsia="zh-CN"/>
          <w14:textFill>
            <w14:solidFill>
              <w14:schemeClr w14:val="tx1"/>
            </w14:solidFill>
          </w14:textFill>
        </w:rPr>
        <w:t>评价组于202</w:t>
      </w:r>
      <w:r>
        <w:rPr>
          <w:rFonts w:hint="eastAsia" w:ascii="宋体" w:hAnsi="宋体" w:cs="宋体"/>
          <w:color w:val="000000" w:themeColor="text1"/>
          <w:kern w:val="0"/>
          <w:sz w:val="28"/>
          <w:szCs w:val="28"/>
          <w:shd w:val="clear" w:color="auto" w:fill="auto"/>
          <w:lang w:val="en-US" w:eastAsia="zh-CN"/>
          <w14:textFill>
            <w14:solidFill>
              <w14:schemeClr w14:val="tx1"/>
            </w14:solidFill>
          </w14:textFill>
        </w:rPr>
        <w:t>5</w:t>
      </w:r>
      <w:r>
        <w:rPr>
          <w:rFonts w:hint="eastAsia" w:ascii="宋体" w:hAnsi="宋体" w:eastAsia="宋体" w:cs="宋体"/>
          <w:color w:val="000000" w:themeColor="text1"/>
          <w:kern w:val="0"/>
          <w:sz w:val="28"/>
          <w:szCs w:val="28"/>
          <w:shd w:val="clear" w:color="auto" w:fill="auto"/>
          <w:lang w:val="en-US" w:eastAsia="zh-CN"/>
          <w14:textFill>
            <w14:solidFill>
              <w14:schemeClr w14:val="tx1"/>
            </w14:solidFill>
          </w14:textFill>
        </w:rPr>
        <w:t>年</w:t>
      </w:r>
      <w:r>
        <w:rPr>
          <w:rFonts w:hint="eastAsia" w:ascii="宋体" w:hAnsi="宋体" w:cs="宋体"/>
          <w:color w:val="000000" w:themeColor="text1"/>
          <w:kern w:val="0"/>
          <w:sz w:val="28"/>
          <w:szCs w:val="28"/>
          <w:shd w:val="clear" w:color="auto" w:fill="auto"/>
          <w:lang w:val="en-US" w:eastAsia="zh-CN"/>
          <w14:textFill>
            <w14:solidFill>
              <w14:schemeClr w14:val="tx1"/>
            </w14:solidFill>
          </w14:textFill>
        </w:rPr>
        <w:t>7</w:t>
      </w:r>
      <w:r>
        <w:rPr>
          <w:rFonts w:hint="eastAsia" w:ascii="宋体" w:hAnsi="宋体" w:eastAsia="宋体" w:cs="宋体"/>
          <w:color w:val="000000" w:themeColor="text1"/>
          <w:kern w:val="0"/>
          <w:sz w:val="28"/>
          <w:szCs w:val="28"/>
          <w:shd w:val="clear" w:color="auto" w:fill="auto"/>
          <w:lang w:val="en-US" w:eastAsia="zh-CN"/>
          <w14:textFill>
            <w14:solidFill>
              <w14:schemeClr w14:val="tx1"/>
            </w14:solidFill>
          </w14:textFill>
        </w:rPr>
        <w:t>月</w:t>
      </w:r>
      <w:r>
        <w:rPr>
          <w:rFonts w:hint="eastAsia" w:ascii="宋体" w:hAnsi="宋体" w:cs="宋体"/>
          <w:color w:val="000000" w:themeColor="text1"/>
          <w:kern w:val="0"/>
          <w:sz w:val="28"/>
          <w:szCs w:val="28"/>
          <w:shd w:val="clear" w:color="auto" w:fill="auto"/>
          <w:lang w:val="en-US" w:eastAsia="zh-CN"/>
          <w14:textFill>
            <w14:solidFill>
              <w14:schemeClr w14:val="tx1"/>
            </w14:solidFill>
          </w14:textFill>
        </w:rPr>
        <w:t>4</w:t>
      </w:r>
      <w:r>
        <w:rPr>
          <w:rFonts w:hint="eastAsia" w:ascii="宋体" w:hAnsi="宋体" w:eastAsia="宋体" w:cs="宋体"/>
          <w:color w:val="000000" w:themeColor="text1"/>
          <w:kern w:val="0"/>
          <w:sz w:val="28"/>
          <w:szCs w:val="28"/>
          <w:shd w:val="clear" w:color="auto" w:fill="auto"/>
          <w:lang w:val="en-US" w:eastAsia="zh-CN"/>
          <w14:textFill>
            <w14:solidFill>
              <w14:schemeClr w14:val="tx1"/>
            </w14:solidFill>
          </w14:textFill>
        </w:rPr>
        <w:t>日到项目现场进行勘验检查，评价组以当日现场情况为准编制本评价报告。</w:t>
      </w:r>
    </w:p>
    <w:p w14:paraId="3537FFF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kern w:val="0"/>
          <w:sz w:val="28"/>
          <w:szCs w:val="28"/>
          <w:lang w:val="en-US" w:eastAsia="zh-CN"/>
        </w:rPr>
      </w:pPr>
    </w:p>
    <w:p w14:paraId="09012E9F">
      <w:pPr>
        <w:bidi w:val="0"/>
        <w:rPr>
          <w:rFonts w:hint="eastAsia" w:ascii="Times New Roman" w:hAnsi="Times New Roman" w:eastAsia="宋体" w:cs="Times New Roman"/>
          <w:kern w:val="2"/>
          <w:sz w:val="21"/>
          <w:szCs w:val="24"/>
          <w:lang w:val="en-US" w:eastAsia="zh-CN" w:bidi="ar-SA"/>
        </w:rPr>
      </w:pPr>
    </w:p>
    <w:p w14:paraId="2D093AA9">
      <w:pPr>
        <w:bidi w:val="0"/>
        <w:rPr>
          <w:rFonts w:hint="eastAsia"/>
          <w:lang w:val="en-US" w:eastAsia="zh-CN"/>
        </w:rPr>
      </w:pPr>
    </w:p>
    <w:p w14:paraId="7262C0A0">
      <w:pPr>
        <w:bidi w:val="0"/>
        <w:rPr>
          <w:rFonts w:hint="eastAsia"/>
          <w:lang w:val="en-US" w:eastAsia="zh-CN"/>
        </w:rPr>
      </w:pPr>
    </w:p>
    <w:p w14:paraId="745FF7A8">
      <w:pPr>
        <w:bidi w:val="0"/>
        <w:rPr>
          <w:rFonts w:hint="eastAsia"/>
          <w:lang w:val="en-US" w:eastAsia="zh-CN"/>
        </w:rPr>
      </w:pPr>
    </w:p>
    <w:p w14:paraId="10A6D711">
      <w:pPr>
        <w:bidi w:val="0"/>
        <w:rPr>
          <w:rFonts w:hint="eastAsia"/>
          <w:lang w:val="en-US" w:eastAsia="zh-CN"/>
        </w:rPr>
      </w:pPr>
    </w:p>
    <w:p w14:paraId="378B152E">
      <w:pPr>
        <w:bidi w:val="0"/>
        <w:rPr>
          <w:rFonts w:hint="eastAsia"/>
          <w:lang w:val="en-US" w:eastAsia="zh-CN"/>
        </w:rPr>
      </w:pPr>
    </w:p>
    <w:p w14:paraId="6D46CA38">
      <w:pPr>
        <w:bidi w:val="0"/>
        <w:rPr>
          <w:rFonts w:hint="eastAsia"/>
          <w:lang w:val="en-US" w:eastAsia="zh-CN"/>
        </w:rPr>
      </w:pPr>
    </w:p>
    <w:p w14:paraId="12911AE0">
      <w:pPr>
        <w:bidi w:val="0"/>
        <w:rPr>
          <w:rFonts w:hint="eastAsia"/>
          <w:lang w:val="en-US" w:eastAsia="zh-CN"/>
        </w:rPr>
      </w:pPr>
    </w:p>
    <w:p w14:paraId="66E8EB69">
      <w:pPr>
        <w:bidi w:val="0"/>
        <w:rPr>
          <w:rFonts w:hint="eastAsia"/>
          <w:lang w:val="en-US" w:eastAsia="zh-CN"/>
        </w:rPr>
      </w:pPr>
    </w:p>
    <w:p w14:paraId="33D5ADE4">
      <w:pPr>
        <w:bidi w:val="0"/>
        <w:rPr>
          <w:rFonts w:hint="eastAsia"/>
          <w:lang w:val="en-US" w:eastAsia="zh-CN"/>
        </w:rPr>
      </w:pPr>
    </w:p>
    <w:p w14:paraId="580D3D87">
      <w:pPr>
        <w:bidi w:val="0"/>
        <w:rPr>
          <w:rFonts w:hint="eastAsia"/>
          <w:lang w:val="en-US" w:eastAsia="zh-CN"/>
        </w:rPr>
      </w:pPr>
    </w:p>
    <w:p w14:paraId="28D7D815">
      <w:pPr>
        <w:bidi w:val="0"/>
        <w:rPr>
          <w:rFonts w:hint="eastAsia"/>
          <w:lang w:val="en-US" w:eastAsia="zh-CN"/>
        </w:rPr>
      </w:pPr>
    </w:p>
    <w:p w14:paraId="19F2960F">
      <w:pPr>
        <w:bidi w:val="0"/>
        <w:rPr>
          <w:rFonts w:hint="eastAsia"/>
          <w:lang w:val="en-US" w:eastAsia="zh-CN"/>
        </w:rPr>
      </w:pPr>
    </w:p>
    <w:p w14:paraId="6E77094C">
      <w:pPr>
        <w:bidi w:val="0"/>
        <w:rPr>
          <w:rFonts w:hint="eastAsia"/>
          <w:lang w:val="en-US" w:eastAsia="zh-CN"/>
        </w:rPr>
      </w:pPr>
    </w:p>
    <w:p w14:paraId="04FE55BB">
      <w:pPr>
        <w:bidi w:val="0"/>
        <w:rPr>
          <w:rFonts w:hint="eastAsia"/>
          <w:lang w:val="en-US" w:eastAsia="zh-CN"/>
        </w:rPr>
      </w:pPr>
    </w:p>
    <w:p w14:paraId="53D0D105">
      <w:pPr>
        <w:bidi w:val="0"/>
        <w:rPr>
          <w:rFonts w:hint="eastAsia"/>
          <w:lang w:val="en-US" w:eastAsia="zh-CN"/>
        </w:rPr>
      </w:pPr>
    </w:p>
    <w:p w14:paraId="7D373041">
      <w:pPr>
        <w:bidi w:val="0"/>
        <w:rPr>
          <w:rFonts w:hint="eastAsia"/>
          <w:lang w:val="en-US" w:eastAsia="zh-CN"/>
        </w:rPr>
      </w:pPr>
    </w:p>
    <w:p w14:paraId="18CB6AFE">
      <w:pPr>
        <w:bidi w:val="0"/>
        <w:rPr>
          <w:rFonts w:hint="eastAsia"/>
          <w:lang w:val="en-US" w:eastAsia="zh-CN"/>
        </w:rPr>
      </w:pPr>
    </w:p>
    <w:p w14:paraId="4A0909F5">
      <w:pPr>
        <w:bidi w:val="0"/>
        <w:rPr>
          <w:rFonts w:hint="eastAsia"/>
          <w:lang w:val="en-US" w:eastAsia="zh-CN"/>
        </w:rPr>
      </w:pPr>
    </w:p>
    <w:p w14:paraId="7202A5A8">
      <w:pPr>
        <w:bidi w:val="0"/>
        <w:rPr>
          <w:rFonts w:hint="eastAsia"/>
          <w:lang w:val="en-US" w:eastAsia="zh-CN"/>
        </w:rPr>
      </w:pPr>
    </w:p>
    <w:p w14:paraId="6A98CD99">
      <w:pPr>
        <w:bidi w:val="0"/>
        <w:rPr>
          <w:rFonts w:hint="eastAsia"/>
          <w:lang w:val="en-US" w:eastAsia="zh-CN"/>
        </w:rPr>
      </w:pPr>
    </w:p>
    <w:p w14:paraId="6EA453A6">
      <w:pPr>
        <w:bidi w:val="0"/>
        <w:rPr>
          <w:rFonts w:hint="eastAsia"/>
          <w:lang w:val="en-US" w:eastAsia="zh-CN"/>
        </w:rPr>
      </w:pPr>
    </w:p>
    <w:p w14:paraId="5A9932D9">
      <w:pPr>
        <w:bidi w:val="0"/>
        <w:rPr>
          <w:rFonts w:hint="eastAsia"/>
          <w:lang w:val="en-US" w:eastAsia="zh-CN"/>
        </w:rPr>
      </w:pPr>
    </w:p>
    <w:p w14:paraId="413A6E2E">
      <w:pPr>
        <w:bidi w:val="0"/>
        <w:rPr>
          <w:rFonts w:hint="eastAsia"/>
          <w:lang w:val="en-US" w:eastAsia="zh-CN"/>
        </w:rPr>
      </w:pPr>
    </w:p>
    <w:p w14:paraId="7774A300">
      <w:pPr>
        <w:bidi w:val="0"/>
        <w:rPr>
          <w:rFonts w:hint="eastAsia"/>
          <w:lang w:val="en-US" w:eastAsia="zh-CN"/>
        </w:rPr>
      </w:pPr>
    </w:p>
    <w:p w14:paraId="031412BF">
      <w:pPr>
        <w:bidi w:val="0"/>
        <w:rPr>
          <w:rFonts w:hint="eastAsia"/>
          <w:lang w:val="en-US" w:eastAsia="zh-CN"/>
        </w:rPr>
      </w:pPr>
    </w:p>
    <w:p w14:paraId="37632A29">
      <w:pPr>
        <w:bidi w:val="0"/>
        <w:rPr>
          <w:rFonts w:hint="eastAsia"/>
          <w:lang w:val="en-US" w:eastAsia="zh-CN"/>
        </w:rPr>
      </w:pPr>
    </w:p>
    <w:p w14:paraId="72248B22">
      <w:pPr>
        <w:bidi w:val="0"/>
        <w:rPr>
          <w:rFonts w:hint="eastAsia"/>
          <w:lang w:val="en-US" w:eastAsia="zh-CN"/>
        </w:rPr>
      </w:pPr>
    </w:p>
    <w:p w14:paraId="1F8CDC87">
      <w:pPr>
        <w:bidi w:val="0"/>
        <w:rPr>
          <w:rFonts w:hint="eastAsia"/>
          <w:lang w:val="en-US" w:eastAsia="zh-CN"/>
        </w:rPr>
      </w:pPr>
    </w:p>
    <w:p w14:paraId="31295BC8">
      <w:pPr>
        <w:bidi w:val="0"/>
        <w:rPr>
          <w:rFonts w:hint="eastAsia"/>
          <w:lang w:val="en-US" w:eastAsia="zh-CN"/>
        </w:rPr>
      </w:pPr>
    </w:p>
    <w:p w14:paraId="0C5CE38A">
      <w:pPr>
        <w:bidi w:val="0"/>
        <w:rPr>
          <w:rFonts w:hint="eastAsia"/>
          <w:lang w:val="en-US" w:eastAsia="zh-CN"/>
        </w:rPr>
      </w:pPr>
    </w:p>
    <w:p w14:paraId="35538C37">
      <w:pPr>
        <w:bidi w:val="0"/>
        <w:rPr>
          <w:rFonts w:hint="eastAsia"/>
          <w:lang w:val="en-US" w:eastAsia="zh-CN"/>
        </w:rPr>
      </w:pPr>
    </w:p>
    <w:p w14:paraId="086364DA">
      <w:pPr>
        <w:bidi w:val="0"/>
        <w:rPr>
          <w:rFonts w:hint="eastAsia"/>
          <w:lang w:val="en-US" w:eastAsia="zh-CN"/>
        </w:rPr>
      </w:pPr>
    </w:p>
    <w:p w14:paraId="714D5FB3">
      <w:pPr>
        <w:bidi w:val="0"/>
        <w:rPr>
          <w:rFonts w:hint="eastAsia"/>
          <w:lang w:val="en-US" w:eastAsia="zh-CN"/>
        </w:rPr>
      </w:pPr>
    </w:p>
    <w:p w14:paraId="6A646DCA">
      <w:pPr>
        <w:bidi w:val="0"/>
        <w:rPr>
          <w:rFonts w:hint="eastAsia"/>
          <w:lang w:val="en-US" w:eastAsia="zh-CN"/>
        </w:rPr>
      </w:pPr>
    </w:p>
    <w:p w14:paraId="10EEF675">
      <w:pPr>
        <w:bidi w:val="0"/>
        <w:rPr>
          <w:rFonts w:hint="eastAsia"/>
          <w:lang w:val="en-US" w:eastAsia="zh-CN"/>
        </w:rPr>
      </w:pPr>
    </w:p>
    <w:p w14:paraId="35DB722C">
      <w:pPr>
        <w:bidi w:val="0"/>
        <w:ind w:firstLine="396" w:firstLineChars="0"/>
        <w:jc w:val="left"/>
        <w:rPr>
          <w:rFonts w:hint="eastAsia"/>
          <w:lang w:val="en-US" w:eastAsia="zh-CN"/>
        </w:rPr>
      </w:pPr>
    </w:p>
    <w:p w14:paraId="1C11C852">
      <w:pPr>
        <w:keepNext w:val="0"/>
        <w:keepLines w:val="0"/>
        <w:pageBreakBefore w:val="0"/>
        <w:widowControl w:val="0"/>
        <w:kinsoku/>
        <w:wordWrap/>
        <w:overflowPunct/>
        <w:topLinePunct w:val="0"/>
        <w:autoSpaceDE/>
        <w:autoSpaceDN/>
        <w:bidi w:val="0"/>
        <w:adjustRightInd/>
        <w:snapToGrid/>
        <w:spacing w:before="313" w:beforeLines="100"/>
        <w:jc w:val="center"/>
        <w:textAlignment w:val="auto"/>
        <w:outlineLvl w:val="0"/>
        <w:rPr>
          <w:rFonts w:hint="eastAsia" w:ascii="宋体" w:hAnsi="宋体" w:eastAsia="宋体" w:cs="宋体"/>
          <w:b/>
          <w:sz w:val="44"/>
          <w:szCs w:val="44"/>
          <w:lang w:val="en-US" w:eastAsia="zh-CN"/>
        </w:rPr>
      </w:pPr>
      <w:bookmarkStart w:id="47" w:name="_Toc27402"/>
      <w:bookmarkStart w:id="48" w:name="_Toc24484"/>
      <w:r>
        <w:rPr>
          <w:rFonts w:hint="eastAsia" w:ascii="宋体" w:hAnsi="宋体" w:eastAsia="宋体" w:cs="宋体"/>
          <w:b/>
          <w:sz w:val="44"/>
          <w:szCs w:val="44"/>
          <w:lang w:val="en-US" w:eastAsia="zh-CN"/>
        </w:rPr>
        <w:t>第2章 评价项目概况</w:t>
      </w:r>
      <w:bookmarkEnd w:id="47"/>
      <w:bookmarkEnd w:id="48"/>
    </w:p>
    <w:p w14:paraId="76649E36">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49" w:name="_Toc28805"/>
      <w:bookmarkStart w:id="50" w:name="_Toc12478"/>
      <w:r>
        <w:rPr>
          <w:rFonts w:hint="eastAsia" w:ascii="宋体" w:hAnsi="宋体" w:eastAsia="宋体" w:cs="宋体"/>
          <w:b/>
          <w:smallCaps/>
          <w:color w:val="auto"/>
          <w:kern w:val="0"/>
          <w:sz w:val="32"/>
          <w:szCs w:val="32"/>
          <w:lang w:val="en-US" w:eastAsia="zh-CN"/>
        </w:rPr>
        <w:t>2.1加油站概况</w:t>
      </w:r>
      <w:bookmarkEnd w:id="49"/>
      <w:bookmarkEnd w:id="50"/>
    </w:p>
    <w:p w14:paraId="56350BEA">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cs="宋体"/>
          <w:color w:val="000000"/>
          <w:sz w:val="28"/>
          <w:szCs w:val="28"/>
          <w:vertAlign w:val="baseline"/>
          <w:lang w:eastAsia="zh-CN"/>
        </w:rPr>
      </w:pPr>
      <w:r>
        <w:rPr>
          <w:rFonts w:hint="eastAsia" w:ascii="宋体" w:hAnsi="宋体" w:eastAsia="宋体" w:cs="宋体"/>
          <w:b w:val="0"/>
          <w:bCs/>
          <w:sz w:val="28"/>
          <w:szCs w:val="28"/>
          <w:lang w:val="en-US" w:eastAsia="zh-CN"/>
        </w:rPr>
        <w:t>宏源加油站位于</w:t>
      </w:r>
      <w:r>
        <w:rPr>
          <w:rFonts w:hint="eastAsia" w:ascii="宋体" w:hAnsi="宋体" w:eastAsia="宋体" w:cs="宋体"/>
          <w:i w:val="0"/>
          <w:iCs w:val="0"/>
          <w:caps w:val="0"/>
          <w:spacing w:val="0"/>
          <w:sz w:val="28"/>
          <w:szCs w:val="28"/>
          <w:shd w:val="clear" w:fill="FFFFFF"/>
        </w:rPr>
        <w:t>云南省怒江傈僳族自治州兰坪白族普米族自治县通甸镇八十一社区</w:t>
      </w:r>
      <w:r>
        <w:rPr>
          <w:rFonts w:hint="eastAsia" w:ascii="宋体" w:hAnsi="宋体" w:eastAsia="宋体" w:cs="宋体"/>
          <w:i w:val="0"/>
          <w:iCs w:val="0"/>
          <w:caps w:val="0"/>
          <w:spacing w:val="0"/>
          <w:sz w:val="28"/>
          <w:szCs w:val="28"/>
          <w:shd w:val="clear" w:fill="FFFFFF"/>
          <w:lang w:eastAsia="zh-CN"/>
        </w:rPr>
        <w:t>，</w:t>
      </w:r>
      <w:r>
        <w:rPr>
          <w:rFonts w:hint="eastAsia" w:ascii="宋体" w:hAnsi="宋体" w:eastAsia="宋体" w:cs="宋体"/>
          <w:i w:val="0"/>
          <w:iCs w:val="0"/>
          <w:caps w:val="0"/>
          <w:spacing w:val="0"/>
          <w:sz w:val="28"/>
          <w:szCs w:val="28"/>
          <w:shd w:val="clear" w:fill="FFFFFF"/>
          <w:lang w:val="en-US" w:eastAsia="zh-CN"/>
        </w:rPr>
        <w:t>投资人严志鹏，加油站</w:t>
      </w:r>
      <w:r>
        <w:rPr>
          <w:rFonts w:hint="eastAsia" w:ascii="宋体" w:hAnsi="宋体" w:cs="宋体"/>
          <w:i w:val="0"/>
          <w:iCs w:val="0"/>
          <w:caps w:val="0"/>
          <w:spacing w:val="0"/>
          <w:sz w:val="28"/>
          <w:szCs w:val="28"/>
          <w:shd w:val="clear" w:fill="FFFFFF"/>
          <w:lang w:val="en-US" w:eastAsia="zh-CN"/>
        </w:rPr>
        <w:t>规模为二级站，</w:t>
      </w:r>
      <w:r>
        <w:rPr>
          <w:rFonts w:hint="eastAsia" w:ascii="宋体" w:hAnsi="宋体" w:eastAsia="宋体" w:cs="宋体"/>
          <w:i w:val="0"/>
          <w:iCs w:val="0"/>
          <w:caps w:val="0"/>
          <w:spacing w:val="0"/>
          <w:sz w:val="28"/>
          <w:szCs w:val="28"/>
          <w:shd w:val="clear" w:fill="FFFFFF"/>
          <w:lang w:val="en-US" w:eastAsia="zh-CN"/>
        </w:rPr>
        <w:t>占地面积为</w:t>
      </w:r>
      <w:r>
        <w:rPr>
          <w:rFonts w:hint="eastAsia" w:ascii="宋体" w:hAnsi="宋体" w:cs="宋体"/>
          <w:i w:val="0"/>
          <w:iCs w:val="0"/>
          <w:caps w:val="0"/>
          <w:spacing w:val="0"/>
          <w:sz w:val="28"/>
          <w:szCs w:val="28"/>
          <w:shd w:val="clear" w:fill="FFFFFF"/>
          <w:lang w:val="en-US" w:eastAsia="zh-CN"/>
        </w:rPr>
        <w:t>3996.06</w:t>
      </w:r>
      <w:r>
        <w:rPr>
          <w:rFonts w:hint="eastAsia" w:ascii="宋体" w:hAnsi="宋体" w:cs="宋体"/>
          <w:color w:val="000000"/>
          <w:sz w:val="28"/>
          <w:szCs w:val="28"/>
        </w:rPr>
        <w:t>m</w:t>
      </w:r>
      <w:r>
        <w:rPr>
          <w:rFonts w:hint="eastAsia" w:ascii="宋体" w:hAnsi="宋体" w:cs="宋体"/>
          <w:color w:val="000000"/>
          <w:sz w:val="28"/>
          <w:szCs w:val="28"/>
          <w:vertAlign w:val="superscript"/>
        </w:rPr>
        <w:t>2</w:t>
      </w:r>
      <w:r>
        <w:rPr>
          <w:rFonts w:hint="eastAsia" w:ascii="宋体" w:hAnsi="宋体" w:cs="宋体"/>
          <w:color w:val="000000"/>
          <w:sz w:val="28"/>
          <w:szCs w:val="28"/>
          <w:vertAlign w:val="baseline"/>
          <w:lang w:eastAsia="zh-CN"/>
        </w:rPr>
        <w:t>。</w:t>
      </w:r>
    </w:p>
    <w:p w14:paraId="44433D76">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主要经营0#柴油、92#汽油、95#汽油，属于汽车加油站。</w:t>
      </w:r>
    </w:p>
    <w:p w14:paraId="1EE6BCEB">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51" w:name="_Toc23620"/>
      <w:bookmarkStart w:id="52" w:name="_Toc1269"/>
      <w:bookmarkStart w:id="53" w:name="_Toc14033"/>
      <w:bookmarkStart w:id="54" w:name="_Toc15568"/>
      <w:r>
        <w:rPr>
          <w:rFonts w:hint="eastAsia" w:ascii="宋体" w:hAnsi="宋体" w:eastAsia="宋体" w:cs="宋体"/>
          <w:b/>
          <w:sz w:val="30"/>
          <w:szCs w:val="30"/>
          <w:lang w:val="en-US" w:eastAsia="zh-CN"/>
        </w:rPr>
        <w:t>2.1.1企业证照情况</w:t>
      </w:r>
      <w:bookmarkEnd w:id="51"/>
      <w:bookmarkEnd w:id="52"/>
      <w:bookmarkEnd w:id="53"/>
      <w:bookmarkEnd w:id="54"/>
    </w:p>
    <w:p w14:paraId="3CF9BD78">
      <w:pPr>
        <w:keepNext w:val="0"/>
        <w:keepLines w:val="0"/>
        <w:pageBreakBefore w:val="0"/>
        <w:widowControl w:val="0"/>
        <w:tabs>
          <w:tab w:val="left" w:pos="3056"/>
        </w:tabs>
        <w:kinsoku/>
        <w:wordWrap/>
        <w:overflowPunct/>
        <w:topLinePunct w:val="0"/>
        <w:autoSpaceDE/>
        <w:autoSpaceDN/>
        <w:bidi w:val="0"/>
        <w:spacing w:line="60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1、加油站营业执照</w:t>
      </w:r>
    </w:p>
    <w:p w14:paraId="3F2A6AB7">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信用代码：</w:t>
      </w:r>
      <w:r>
        <w:rPr>
          <w:rFonts w:hint="eastAsia" w:ascii="宋体" w:hAnsi="宋体" w:eastAsia="宋体" w:cs="宋体"/>
          <w:i w:val="0"/>
          <w:iCs w:val="0"/>
          <w:caps w:val="0"/>
          <w:spacing w:val="0"/>
          <w:sz w:val="28"/>
          <w:szCs w:val="28"/>
          <w:shd w:val="clear" w:fill="FFFFFF"/>
        </w:rPr>
        <w:t>915333255971400055</w:t>
      </w:r>
    </w:p>
    <w:p w14:paraId="09EBC036">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名称：</w:t>
      </w:r>
      <w:r>
        <w:rPr>
          <w:rFonts w:hint="eastAsia" w:ascii="宋体" w:hAnsi="宋体" w:eastAsia="宋体" w:cs="宋体"/>
          <w:i w:val="0"/>
          <w:iCs w:val="0"/>
          <w:caps w:val="0"/>
          <w:spacing w:val="0"/>
          <w:sz w:val="28"/>
          <w:szCs w:val="28"/>
          <w:shd w:val="clear" w:fill="FFFFFF"/>
        </w:rPr>
        <w:t>兰坪县宏源经贸有限责任公司</w:t>
      </w:r>
    </w:p>
    <w:p w14:paraId="49A4A482">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营业场所：</w:t>
      </w:r>
      <w:r>
        <w:rPr>
          <w:rFonts w:hint="eastAsia" w:ascii="宋体" w:hAnsi="宋体" w:eastAsia="宋体" w:cs="宋体"/>
          <w:i w:val="0"/>
          <w:iCs w:val="0"/>
          <w:caps w:val="0"/>
          <w:spacing w:val="0"/>
          <w:sz w:val="28"/>
          <w:szCs w:val="28"/>
          <w:shd w:val="clear" w:fill="FFFFFF"/>
        </w:rPr>
        <w:t>兰坪白族普米族自治县通甸镇八十一社区</w:t>
      </w:r>
    </w:p>
    <w:p w14:paraId="60F9F165">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负责人：</w:t>
      </w:r>
      <w:r>
        <w:rPr>
          <w:rFonts w:hint="eastAsia" w:ascii="宋体" w:hAnsi="宋体" w:eastAsia="宋体" w:cs="宋体"/>
          <w:i w:val="0"/>
          <w:iCs w:val="0"/>
          <w:caps w:val="0"/>
          <w:spacing w:val="0"/>
          <w:sz w:val="28"/>
          <w:szCs w:val="28"/>
          <w:shd w:val="clear" w:fill="FFFFFF"/>
          <w:lang w:val="en-US" w:eastAsia="zh-CN"/>
        </w:rPr>
        <w:t>严志鹏</w:t>
      </w:r>
    </w:p>
    <w:p w14:paraId="16BDD96D">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color w:val="000000"/>
          <w:sz w:val="28"/>
          <w:szCs w:val="28"/>
        </w:rPr>
        <w:t>类 型 ：</w:t>
      </w:r>
      <w:r>
        <w:rPr>
          <w:rFonts w:hint="eastAsia" w:ascii="宋体" w:hAnsi="宋体" w:eastAsia="宋体" w:cs="宋体"/>
          <w:sz w:val="28"/>
          <w:szCs w:val="28"/>
        </w:rPr>
        <w:t>个人独资企业</w:t>
      </w:r>
    </w:p>
    <w:p w14:paraId="2926A7A9">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成立日期</w:t>
      </w:r>
      <w:r>
        <w:rPr>
          <w:rFonts w:hint="eastAsia" w:ascii="宋体" w:hAnsi="宋体" w:eastAsia="宋体" w:cs="宋体"/>
          <w:color w:val="000000"/>
          <w:sz w:val="28"/>
          <w:szCs w:val="28"/>
        </w:rPr>
        <w:t>：</w:t>
      </w:r>
      <w:r>
        <w:rPr>
          <w:rFonts w:hint="eastAsia" w:ascii="宋体" w:hAnsi="宋体" w:eastAsia="宋体" w:cs="宋体"/>
          <w:i w:val="0"/>
          <w:iCs w:val="0"/>
          <w:caps w:val="0"/>
          <w:spacing w:val="0"/>
          <w:sz w:val="28"/>
          <w:szCs w:val="28"/>
          <w:shd w:val="clear" w:fill="FFFFFF"/>
        </w:rPr>
        <w:t>2012 年 06 月 20 日</w:t>
      </w:r>
    </w:p>
    <w:p w14:paraId="714BE272">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经营范围：</w:t>
      </w:r>
      <w:r>
        <w:rPr>
          <w:rFonts w:hint="eastAsia" w:ascii="宋体" w:hAnsi="宋体" w:eastAsia="宋体" w:cs="宋体"/>
          <w:color w:val="auto"/>
          <w:kern w:val="0"/>
          <w:sz w:val="28"/>
          <w:szCs w:val="28"/>
          <w:lang w:val="en-US" w:eastAsia="zh-CN"/>
        </w:rPr>
        <w:t>汽油、柴油零售。（依法须经批准的项目，经相关部门批准后方可开展经营活动）。</w:t>
      </w:r>
    </w:p>
    <w:p w14:paraId="6EBD27B5">
      <w:pPr>
        <w:pStyle w:val="21"/>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登记机关：</w:t>
      </w:r>
      <w:r>
        <w:rPr>
          <w:rFonts w:hint="eastAsia" w:ascii="宋体" w:hAnsi="宋体" w:eastAsia="宋体" w:cs="宋体"/>
          <w:i w:val="0"/>
          <w:iCs w:val="0"/>
          <w:caps w:val="0"/>
          <w:spacing w:val="0"/>
          <w:sz w:val="28"/>
          <w:szCs w:val="28"/>
          <w:shd w:val="clear" w:fill="FFFFFF"/>
        </w:rPr>
        <w:t>兰坪白族普米族自治县</w:t>
      </w:r>
      <w:r>
        <w:rPr>
          <w:rFonts w:hint="eastAsia" w:ascii="宋体" w:hAnsi="宋体" w:eastAsia="宋体" w:cs="宋体"/>
          <w:i w:val="0"/>
          <w:iCs w:val="0"/>
          <w:caps w:val="0"/>
          <w:spacing w:val="0"/>
          <w:sz w:val="28"/>
          <w:szCs w:val="28"/>
          <w:shd w:val="clear" w:fill="FFFFFF"/>
          <w:lang w:val="en-US" w:eastAsia="zh-CN"/>
        </w:rPr>
        <w:t>市场监督管理局</w:t>
      </w:r>
    </w:p>
    <w:p w14:paraId="7EBA5D88">
      <w:pPr>
        <w:pStyle w:val="21"/>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登记日期：</w:t>
      </w:r>
      <w:r>
        <w:rPr>
          <w:rFonts w:hint="eastAsia" w:ascii="宋体" w:hAnsi="宋体" w:eastAsia="宋体" w:cs="宋体"/>
          <w:color w:val="000000"/>
          <w:sz w:val="28"/>
          <w:szCs w:val="28"/>
          <w:lang w:val="en-US" w:eastAsia="zh-CN"/>
        </w:rPr>
        <w:t>2023年08月10日</w:t>
      </w:r>
    </w:p>
    <w:p w14:paraId="645CA613">
      <w:pPr>
        <w:pStyle w:val="21"/>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2、危险化学品经营许可证</w:t>
      </w:r>
    </w:p>
    <w:p w14:paraId="77A1FD31">
      <w:pPr>
        <w:pStyle w:val="21"/>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b w:val="0"/>
          <w:bCs/>
          <w:sz w:val="28"/>
          <w:szCs w:val="28"/>
          <w:lang w:val="en-US" w:eastAsia="zh-CN"/>
        </w:rPr>
        <w:t>宏源加油站</w:t>
      </w:r>
      <w:r>
        <w:rPr>
          <w:rFonts w:hint="eastAsia" w:ascii="宋体" w:hAnsi="宋体" w:eastAsia="宋体" w:cs="宋体"/>
          <w:color w:val="000000"/>
          <w:sz w:val="28"/>
          <w:szCs w:val="28"/>
        </w:rPr>
        <w:t>于20</w:t>
      </w:r>
      <w:r>
        <w:rPr>
          <w:rFonts w:hint="eastAsia" w:ascii="宋体" w:hAnsi="宋体" w:eastAsia="宋体" w:cs="宋体"/>
          <w:color w:val="000000"/>
          <w:sz w:val="28"/>
          <w:szCs w:val="28"/>
          <w:lang w:val="en-US" w:eastAsia="zh-CN"/>
        </w:rPr>
        <w:t>22</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0</w:t>
      </w:r>
      <w:r>
        <w:rPr>
          <w:rFonts w:hint="eastAsia" w:hAnsi="宋体" w:cs="宋体"/>
          <w:color w:val="000000"/>
          <w:sz w:val="28"/>
          <w:szCs w:val="28"/>
          <w:lang w:val="en-US" w:eastAsia="zh-CN"/>
        </w:rPr>
        <w:t>6</w:t>
      </w:r>
      <w:r>
        <w:rPr>
          <w:rFonts w:hint="eastAsia" w:ascii="宋体" w:hAnsi="宋体" w:eastAsia="宋体" w:cs="宋体"/>
          <w:color w:val="000000"/>
          <w:sz w:val="28"/>
          <w:szCs w:val="28"/>
        </w:rPr>
        <w:t>月</w:t>
      </w:r>
      <w:r>
        <w:rPr>
          <w:rFonts w:hint="eastAsia" w:hAnsi="宋体" w:cs="宋体"/>
          <w:color w:val="000000"/>
          <w:sz w:val="28"/>
          <w:szCs w:val="28"/>
          <w:lang w:val="en-US" w:eastAsia="zh-CN"/>
        </w:rPr>
        <w:t>29</w:t>
      </w:r>
      <w:r>
        <w:rPr>
          <w:rFonts w:hint="eastAsia" w:ascii="宋体" w:hAnsi="宋体" w:eastAsia="宋体" w:cs="宋体"/>
          <w:color w:val="000000"/>
          <w:sz w:val="28"/>
          <w:szCs w:val="28"/>
        </w:rPr>
        <w:t>日经过换证取得《危险化学经营许可证》，证书编号：</w:t>
      </w:r>
      <w:r>
        <w:rPr>
          <w:rFonts w:hint="eastAsia" w:ascii="宋体" w:hAnsi="宋体" w:eastAsia="宋体" w:cs="宋体"/>
          <w:i w:val="0"/>
          <w:iCs w:val="0"/>
          <w:caps w:val="0"/>
          <w:spacing w:val="0"/>
          <w:sz w:val="28"/>
          <w:szCs w:val="28"/>
          <w:shd w:val="clear" w:fill="FFFFFF"/>
        </w:rPr>
        <w:t>云怒安经（甲）字〔2013〕000002</w:t>
      </w:r>
      <w:r>
        <w:rPr>
          <w:rFonts w:hint="eastAsia" w:ascii="宋体" w:hAnsi="宋体" w:eastAsia="宋体" w:cs="宋体"/>
          <w:color w:val="000000"/>
          <w:sz w:val="28"/>
          <w:szCs w:val="28"/>
        </w:rPr>
        <w:t>，有效期三年，</w:t>
      </w:r>
      <w:r>
        <w:rPr>
          <w:rFonts w:hint="eastAsia" w:ascii="宋体" w:hAnsi="宋体" w:eastAsia="宋体" w:cs="宋体"/>
          <w:color w:val="000000"/>
          <w:sz w:val="28"/>
          <w:szCs w:val="28"/>
          <w:lang w:val="en-US" w:eastAsia="zh-CN"/>
        </w:rPr>
        <w:t>2022</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09</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09</w:t>
      </w:r>
      <w:r>
        <w:rPr>
          <w:rFonts w:hint="eastAsia" w:ascii="宋体" w:hAnsi="宋体" w:eastAsia="宋体" w:cs="宋体"/>
          <w:color w:val="000000"/>
          <w:sz w:val="28"/>
          <w:szCs w:val="28"/>
        </w:rPr>
        <w:t>日～202</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09</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08</w:t>
      </w:r>
      <w:r>
        <w:rPr>
          <w:rFonts w:hint="eastAsia" w:ascii="宋体" w:hAnsi="宋体" w:eastAsia="宋体" w:cs="宋体"/>
          <w:color w:val="000000"/>
          <w:sz w:val="28"/>
          <w:szCs w:val="28"/>
        </w:rPr>
        <w:t>日。</w:t>
      </w:r>
    </w:p>
    <w:p w14:paraId="00BE009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3、成品油经营零售批准书</w:t>
      </w:r>
    </w:p>
    <w:p w14:paraId="75374D09">
      <w:pPr>
        <w:pStyle w:val="21"/>
        <w:keepNext w:val="0"/>
        <w:keepLines w:val="0"/>
        <w:pageBreakBefore w:val="0"/>
        <w:widowControl w:val="0"/>
        <w:kinsoku/>
        <w:wordWrap/>
        <w:overflowPunct/>
        <w:topLinePunct w:val="0"/>
        <w:autoSpaceDE/>
        <w:autoSpaceDN/>
        <w:bidi w:val="0"/>
        <w:adjustRightInd/>
        <w:snapToGrid w:val="0"/>
        <w:spacing w:line="600" w:lineRule="exact"/>
        <w:ind w:firstLine="560" w:firstLineChars="200"/>
        <w:textAlignment w:val="auto"/>
        <w:rPr>
          <w:rFonts w:hint="eastAsia" w:ascii="宋体" w:hAnsi="宋体" w:cs="宋体"/>
          <w:color w:val="000000"/>
          <w:sz w:val="28"/>
          <w:szCs w:val="28"/>
        </w:rPr>
      </w:pPr>
      <w:r>
        <w:rPr>
          <w:rFonts w:hint="eastAsia" w:ascii="宋体" w:hAnsi="宋体" w:eastAsia="宋体" w:cs="宋体"/>
          <w:b w:val="0"/>
          <w:bCs/>
          <w:sz w:val="28"/>
          <w:szCs w:val="28"/>
          <w:lang w:val="en-US" w:eastAsia="zh-CN"/>
        </w:rPr>
        <w:t>宏源加油站</w:t>
      </w:r>
      <w:r>
        <w:rPr>
          <w:rFonts w:hint="eastAsia" w:ascii="宋体" w:hAnsi="宋体" w:cs="宋体"/>
          <w:color w:val="000000"/>
          <w:sz w:val="28"/>
          <w:szCs w:val="28"/>
        </w:rPr>
        <w:t>于</w:t>
      </w:r>
      <w:r>
        <w:rPr>
          <w:rFonts w:hint="eastAsia" w:hAnsi="宋体" w:cs="宋体"/>
          <w:color w:val="000000"/>
          <w:sz w:val="28"/>
          <w:szCs w:val="28"/>
          <w:lang w:val="en-US" w:eastAsia="zh-CN"/>
        </w:rPr>
        <w:t>2024</w:t>
      </w:r>
      <w:r>
        <w:rPr>
          <w:rFonts w:hint="eastAsia" w:ascii="宋体" w:hAnsi="宋体" w:cs="宋体"/>
          <w:color w:val="000000"/>
          <w:sz w:val="28"/>
          <w:szCs w:val="28"/>
        </w:rPr>
        <w:t>年</w:t>
      </w:r>
      <w:r>
        <w:rPr>
          <w:rFonts w:hint="eastAsia" w:hAnsi="宋体" w:cs="宋体"/>
          <w:color w:val="000000"/>
          <w:sz w:val="28"/>
          <w:szCs w:val="28"/>
          <w:lang w:val="en-US" w:eastAsia="zh-CN"/>
        </w:rPr>
        <w:t>05</w:t>
      </w:r>
      <w:r>
        <w:rPr>
          <w:rFonts w:hint="eastAsia" w:ascii="宋体" w:hAnsi="宋体" w:cs="宋体"/>
          <w:color w:val="000000"/>
          <w:sz w:val="28"/>
          <w:szCs w:val="28"/>
        </w:rPr>
        <w:t>月</w:t>
      </w:r>
      <w:r>
        <w:rPr>
          <w:rFonts w:hint="eastAsia" w:hAnsi="宋体" w:cs="宋体"/>
          <w:color w:val="000000"/>
          <w:sz w:val="28"/>
          <w:szCs w:val="28"/>
          <w:lang w:val="en-US" w:eastAsia="zh-CN"/>
        </w:rPr>
        <w:t>06</w:t>
      </w:r>
      <w:r>
        <w:rPr>
          <w:rFonts w:hint="eastAsia" w:ascii="宋体" w:hAnsi="宋体" w:cs="宋体"/>
          <w:color w:val="000000"/>
          <w:sz w:val="28"/>
          <w:szCs w:val="28"/>
        </w:rPr>
        <w:t>日取得《成品油零售经营批准证书》，证书编号：</w:t>
      </w:r>
      <w:r>
        <w:rPr>
          <w:rFonts w:hint="eastAsia" w:hAnsi="宋体" w:cs="宋体"/>
          <w:color w:val="000000"/>
          <w:sz w:val="28"/>
          <w:szCs w:val="28"/>
          <w:lang w:val="en-US" w:eastAsia="zh-CN"/>
        </w:rPr>
        <w:t>怒江</w:t>
      </w:r>
      <w:r>
        <w:rPr>
          <w:rFonts w:hint="eastAsia" w:ascii="宋体" w:hAnsi="宋体" w:cs="宋体"/>
          <w:color w:val="000000"/>
          <w:sz w:val="28"/>
          <w:szCs w:val="28"/>
        </w:rPr>
        <w:t>油零售证书第</w:t>
      </w:r>
      <w:r>
        <w:rPr>
          <w:rFonts w:hint="eastAsia" w:hAnsi="宋体" w:cs="宋体"/>
          <w:color w:val="000000"/>
          <w:sz w:val="28"/>
          <w:szCs w:val="28"/>
          <w:lang w:val="en-US" w:eastAsia="zh-CN"/>
        </w:rPr>
        <w:t>044</w:t>
      </w:r>
      <w:r>
        <w:rPr>
          <w:rFonts w:hint="eastAsia" w:ascii="宋体" w:hAnsi="宋体" w:cs="宋体"/>
          <w:color w:val="000000"/>
          <w:sz w:val="28"/>
          <w:szCs w:val="28"/>
        </w:rPr>
        <w:t>号，有效期五年，202</w:t>
      </w:r>
      <w:r>
        <w:rPr>
          <w:rFonts w:hint="eastAsia" w:hAnsi="宋体" w:cs="宋体"/>
          <w:color w:val="000000"/>
          <w:sz w:val="28"/>
          <w:szCs w:val="28"/>
          <w:lang w:val="en-US" w:eastAsia="zh-CN"/>
        </w:rPr>
        <w:t>4</w:t>
      </w:r>
      <w:r>
        <w:rPr>
          <w:rFonts w:hint="eastAsia" w:ascii="宋体" w:hAnsi="宋体" w:cs="宋体"/>
          <w:color w:val="000000"/>
          <w:sz w:val="28"/>
          <w:szCs w:val="28"/>
        </w:rPr>
        <w:t>年</w:t>
      </w:r>
      <w:r>
        <w:rPr>
          <w:rFonts w:hint="eastAsia" w:hAnsi="宋体" w:cs="宋体"/>
          <w:color w:val="000000"/>
          <w:sz w:val="28"/>
          <w:szCs w:val="28"/>
          <w:lang w:val="en-US" w:eastAsia="zh-CN"/>
        </w:rPr>
        <w:t>05</w:t>
      </w:r>
      <w:r>
        <w:rPr>
          <w:rFonts w:hint="eastAsia" w:ascii="宋体" w:hAnsi="宋体" w:cs="宋体"/>
          <w:color w:val="000000"/>
          <w:sz w:val="28"/>
          <w:szCs w:val="28"/>
        </w:rPr>
        <w:t>月</w:t>
      </w:r>
      <w:r>
        <w:rPr>
          <w:rFonts w:hint="eastAsia" w:hAnsi="宋体" w:cs="宋体"/>
          <w:color w:val="000000"/>
          <w:sz w:val="28"/>
          <w:szCs w:val="28"/>
          <w:lang w:val="en-US" w:eastAsia="zh-CN"/>
        </w:rPr>
        <w:t>06</w:t>
      </w:r>
      <w:r>
        <w:rPr>
          <w:rFonts w:hint="eastAsia" w:ascii="宋体" w:hAnsi="宋体" w:cs="宋体"/>
          <w:color w:val="000000"/>
          <w:sz w:val="28"/>
          <w:szCs w:val="28"/>
        </w:rPr>
        <w:t>日～202</w:t>
      </w:r>
      <w:r>
        <w:rPr>
          <w:rFonts w:hint="eastAsia" w:hAnsi="宋体" w:cs="宋体"/>
          <w:color w:val="000000"/>
          <w:sz w:val="28"/>
          <w:szCs w:val="28"/>
          <w:lang w:val="en-US" w:eastAsia="zh-CN"/>
        </w:rPr>
        <w:t>9</w:t>
      </w:r>
      <w:r>
        <w:rPr>
          <w:rFonts w:hint="eastAsia" w:ascii="宋体" w:hAnsi="宋体" w:cs="宋体"/>
          <w:color w:val="000000"/>
          <w:sz w:val="28"/>
          <w:szCs w:val="28"/>
        </w:rPr>
        <w:t>年</w:t>
      </w:r>
      <w:r>
        <w:rPr>
          <w:rFonts w:hint="eastAsia" w:hAnsi="宋体" w:cs="宋体"/>
          <w:color w:val="000000"/>
          <w:sz w:val="28"/>
          <w:szCs w:val="28"/>
          <w:lang w:val="en-US" w:eastAsia="zh-CN"/>
        </w:rPr>
        <w:t>05</w:t>
      </w:r>
      <w:r>
        <w:rPr>
          <w:rFonts w:hint="eastAsia" w:ascii="宋体" w:hAnsi="宋体" w:cs="宋体"/>
          <w:color w:val="000000"/>
          <w:sz w:val="28"/>
          <w:szCs w:val="28"/>
        </w:rPr>
        <w:t>月</w:t>
      </w:r>
      <w:r>
        <w:rPr>
          <w:rFonts w:hint="eastAsia" w:hAnsi="宋体" w:cs="宋体"/>
          <w:color w:val="000000"/>
          <w:sz w:val="28"/>
          <w:szCs w:val="28"/>
          <w:lang w:val="en-US" w:eastAsia="zh-CN"/>
        </w:rPr>
        <w:t>05</w:t>
      </w:r>
      <w:r>
        <w:rPr>
          <w:rFonts w:hint="eastAsia" w:ascii="宋体" w:hAnsi="宋体" w:cs="宋体"/>
          <w:color w:val="000000"/>
          <w:sz w:val="28"/>
          <w:szCs w:val="28"/>
        </w:rPr>
        <w:t>日。</w:t>
      </w:r>
    </w:p>
    <w:p w14:paraId="189ECC9B">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55" w:name="_Toc19337"/>
      <w:bookmarkStart w:id="56" w:name="_Toc2792"/>
      <w:bookmarkStart w:id="57" w:name="_Toc13202"/>
      <w:bookmarkStart w:id="58" w:name="_Toc18235"/>
      <w:r>
        <w:rPr>
          <w:rFonts w:hint="eastAsia" w:ascii="宋体" w:hAnsi="宋体" w:eastAsia="宋体" w:cs="宋体"/>
          <w:b/>
          <w:smallCaps/>
          <w:color w:val="auto"/>
          <w:kern w:val="0"/>
          <w:sz w:val="32"/>
          <w:szCs w:val="32"/>
          <w:lang w:val="en-US" w:eastAsia="zh-CN"/>
        </w:rPr>
        <w:t>2.2站址自然条件</w:t>
      </w:r>
      <w:bookmarkEnd w:id="55"/>
      <w:bookmarkEnd w:id="56"/>
      <w:bookmarkEnd w:id="57"/>
      <w:bookmarkEnd w:id="58"/>
    </w:p>
    <w:p w14:paraId="5BE6FF01">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59" w:name="_Toc15606"/>
      <w:bookmarkStart w:id="60" w:name="_Toc21656"/>
      <w:bookmarkStart w:id="61" w:name="_Toc17436"/>
      <w:bookmarkStart w:id="62" w:name="_Toc8520"/>
      <w:r>
        <w:rPr>
          <w:rFonts w:hint="eastAsia" w:ascii="宋体" w:hAnsi="宋体" w:eastAsia="宋体" w:cs="宋体"/>
          <w:b/>
          <w:sz w:val="30"/>
          <w:szCs w:val="30"/>
          <w:lang w:val="en-US" w:eastAsia="zh-CN"/>
        </w:rPr>
        <w:t>2.2.1地理位置及交通</w:t>
      </w:r>
      <w:bookmarkEnd w:id="59"/>
      <w:bookmarkEnd w:id="60"/>
      <w:bookmarkEnd w:id="61"/>
      <w:bookmarkEnd w:id="62"/>
    </w:p>
    <w:p w14:paraId="55CDE661">
      <w:pPr>
        <w:pStyle w:val="15"/>
        <w:keepNext w:val="0"/>
        <w:keepLines w:val="0"/>
        <w:pageBreakBefore w:val="0"/>
        <w:widowControl w:val="0"/>
        <w:kinsoku/>
        <w:wordWrap/>
        <w:overflowPunct/>
        <w:topLinePunct w:val="0"/>
        <w:autoSpaceDE/>
        <w:autoSpaceDN/>
        <w:bidi w:val="0"/>
        <w:adjustRightInd/>
        <w:snapToGrid/>
        <w:spacing w:after="0" w:line="600" w:lineRule="exact"/>
        <w:ind w:left="0" w:leftChars="0" w:firstLine="560" w:firstLineChars="200"/>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兰坪白族普米族自治县，隶属云南省</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"https://baike.baidu.com/item/%E6%80%92%E6%B1%9F%E5%82%88%E5%83%B3%E6%97%8F%E8%87%AA%E6%B2%BB%E5%B7%9E/10533271?fromModule=lemma_inlink"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怒江傈僳族自治州</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。地处云南省</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"https://baike.baidu.com/item/%E6%80%92%E6%B1%9F%E5%82%88%E5%83%B3%E6%97%8F%E8%87%AA%E6%B2%BB%E5%B7%9E/10533271?fromModule=lemma_inlink"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怒江傈僳族自治州</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的</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"https://baike.baidu.com/item/%E6%A8%AA%E6%96%AD%E5%B1%B1%E8%84%89/0?fromModule=lemma_inlink"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横断山脉</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纵谷地带，北接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"https://baike.baidu.com/item/%E7%BB%B4%E8%A5%BF%E5%82%88%E5%83%B3%E6%97%8F%E8%87%AA%E6%B2%BB%E5%8E%BF/10539002?fromModule=lemma_inlink"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维西傈僳族自治县</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，东北连</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"https://baike.baidu.com/item/%E7%8E%89%E9%BE%99%E7%BA%B3%E8%A5%BF%E6%97%8F%E8%87%AA%E6%B2%BB%E5%8E%BF/10539040?fromModule=lemma_inlink"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玉龙纳西族自治县</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，东南靠</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"https://baike.baidu.com/item/%E5%89%91%E5%B7%9D%E5%8E%BF/5021231?fromModule=lemma_inlink"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剑川县</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，南邻</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"https://baike.baidu.com/item/%E4%BA%91%E9%BE%99%E5%8E%BF/9156778?fromModule=lemma_inlink"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云龙县</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，西与</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"https://baike.baidu.com/item/%E6%B3%B8%E6%B0%B4%E5%B8%82/19768496?fromModule=lemma_inlink"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泸水市</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begin"/>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instrText xml:space="preserve"> HYPERLINK "https://baike.baidu.com/item/%E7%A6%8F%E8%B4%A1%E5%8E%BF/1271802?fromModule=lemma_inlink" \t "https://baike.baidu.com/item/%E5%85%B0%E5%9D%AA%E7%99%BD%E6%97%8F%E6%99%AE%E7%B1%B3%E6%97%8F%E8%87%AA%E6%B2%BB%E5%8E%BF/_blank" </w:instrTex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separate"/>
      </w:r>
      <w:r>
        <w:rPr>
          <w:rStyle w:val="20"/>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福贡县</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fldChar w:fldCharType="end"/>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接壤。</w:t>
      </w:r>
    </w:p>
    <w:p w14:paraId="0420934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jc w:val="both"/>
        <w:textAlignment w:val="auto"/>
        <w:rPr>
          <w:rFonts w:hint="eastAsia" w:ascii="宋体" w:hAnsi="宋体" w:eastAsia="宋体" w:cs="宋体"/>
          <w:color w:val="000000"/>
          <w:kern w:val="2"/>
          <w:sz w:val="28"/>
          <w:szCs w:val="28"/>
        </w:rPr>
      </w:pPr>
      <w:r>
        <w:rPr>
          <w:rFonts w:hint="eastAsia" w:ascii="宋体" w:hAnsi="宋体" w:eastAsia="宋体" w:cs="宋体"/>
          <w:b w:val="0"/>
          <w:bCs/>
          <w:sz w:val="28"/>
          <w:szCs w:val="28"/>
          <w:lang w:val="en-US" w:eastAsia="zh-CN"/>
        </w:rPr>
        <w:t>宏源加油站位于</w:t>
      </w:r>
      <w:r>
        <w:rPr>
          <w:rFonts w:hint="eastAsia" w:ascii="宋体" w:hAnsi="宋体" w:eastAsia="宋体" w:cs="宋体"/>
          <w:i w:val="0"/>
          <w:iCs w:val="0"/>
          <w:caps w:val="0"/>
          <w:spacing w:val="0"/>
          <w:sz w:val="28"/>
          <w:szCs w:val="28"/>
          <w:shd w:val="clear" w:fill="FFFFFF"/>
        </w:rPr>
        <w:t>兰坪白族普米族自治县通甸镇八十一社区</w:t>
      </w:r>
      <w:r>
        <w:rPr>
          <w:rFonts w:hint="eastAsia" w:ascii="宋体" w:hAnsi="宋体" w:eastAsia="宋体" w:cs="宋体"/>
          <w:i w:val="0"/>
          <w:iCs w:val="0"/>
          <w:caps w:val="0"/>
          <w:spacing w:val="0"/>
          <w:sz w:val="28"/>
          <w:szCs w:val="28"/>
          <w:shd w:val="clear" w:fill="FFFFFF"/>
          <w:lang w:eastAsia="zh-CN"/>
        </w:rPr>
        <w:t>，</w:t>
      </w:r>
      <w:r>
        <w:rPr>
          <w:rFonts w:hint="eastAsia" w:ascii="宋体" w:hAnsi="宋体" w:eastAsia="宋体" w:cs="宋体"/>
          <w:color w:val="000000"/>
          <w:kern w:val="2"/>
          <w:sz w:val="28"/>
          <w:szCs w:val="28"/>
        </w:rPr>
        <w:t>交通便利。见图2-1加油站交通位置图。</w:t>
      </w:r>
    </w:p>
    <w:p w14:paraId="66A2A49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宋体" w:hAnsi="宋体" w:eastAsia="宋体" w:cs="宋体"/>
          <w:color w:val="000000"/>
          <w:kern w:val="2"/>
          <w:sz w:val="28"/>
          <w:szCs w:val="28"/>
        </w:rPr>
      </w:pPr>
      <w:r>
        <w:rPr>
          <w:rFonts w:hint="eastAsia" w:ascii="宋体" w:hAnsi="宋体" w:eastAsia="宋体" w:cs="宋体"/>
          <w:sz w:val="28"/>
          <w:szCs w:val="28"/>
          <w:lang w:val="en-US" w:eastAsia="zh-CN"/>
        </w:rPr>
        <w:drawing>
          <wp:anchor distT="0" distB="0" distL="114935" distR="114935" simplePos="0" relativeHeight="251662336" behindDoc="1" locked="0" layoutInCell="1" allowOverlap="1">
            <wp:simplePos x="0" y="0"/>
            <wp:positionH relativeFrom="column">
              <wp:posOffset>274320</wp:posOffset>
            </wp:positionH>
            <wp:positionV relativeFrom="paragraph">
              <wp:posOffset>95885</wp:posOffset>
            </wp:positionV>
            <wp:extent cx="5180965" cy="5177155"/>
            <wp:effectExtent l="0" t="0" r="635" b="0"/>
            <wp:wrapTight wrapText="bothSides">
              <wp:wrapPolygon>
                <wp:start x="0" y="0"/>
                <wp:lineTo x="0" y="21555"/>
                <wp:lineTo x="21539" y="21555"/>
                <wp:lineTo x="21539" y="0"/>
                <wp:lineTo x="0" y="0"/>
              </wp:wrapPolygon>
            </wp:wrapTight>
            <wp:docPr id="4" name="图片 4" descr="t01e055049a9542d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01e055049a9542d4cc"/>
                    <pic:cNvPicPr>
                      <a:picLocks noChangeAspect="1"/>
                    </pic:cNvPicPr>
                  </pic:nvPicPr>
                  <pic:blipFill>
                    <a:blip r:embed="rId26"/>
                    <a:srcRect l="1438" t="1888"/>
                    <a:stretch>
                      <a:fillRect/>
                    </a:stretch>
                  </pic:blipFill>
                  <pic:spPr>
                    <a:xfrm>
                      <a:off x="0" y="0"/>
                      <a:ext cx="5180965" cy="5177155"/>
                    </a:xfrm>
                    <a:prstGeom prst="rect">
                      <a:avLst/>
                    </a:prstGeom>
                  </pic:spPr>
                </pic:pic>
              </a:graphicData>
            </a:graphic>
          </wp:anchor>
        </w:drawing>
      </w:r>
    </w:p>
    <w:p w14:paraId="6CBD87AE">
      <w:pPr>
        <w:pStyle w:val="21"/>
        <w:keepNext w:val="0"/>
        <w:keepLines w:val="0"/>
        <w:pageBreakBefore w:val="0"/>
        <w:widowControl w:val="0"/>
        <w:kinsoku/>
        <w:wordWrap/>
        <w:overflowPunct/>
        <w:topLinePunct w:val="0"/>
        <w:autoSpaceDE/>
        <w:autoSpaceDN/>
        <w:bidi w:val="0"/>
        <w:adjustRightInd/>
        <w:snapToGrid w:val="0"/>
        <w:spacing w:line="600" w:lineRule="exact"/>
        <w:ind w:left="0" w:leftChars="0" w:firstLine="0" w:firstLineChars="0"/>
        <w:textAlignment w:val="auto"/>
        <w:rPr>
          <w:rFonts w:hint="eastAsia" w:ascii="宋体" w:hAnsi="宋体" w:eastAsia="宋体" w:cs="宋体"/>
          <w:color w:val="000000"/>
          <w:sz w:val="28"/>
          <w:szCs w:val="28"/>
          <w:lang w:eastAsia="zh-CN"/>
        </w:rPr>
      </w:pPr>
    </w:p>
    <w:p w14:paraId="0A757071">
      <w:pPr>
        <w:pStyle w:val="21"/>
        <w:keepNext w:val="0"/>
        <w:keepLines w:val="0"/>
        <w:pageBreakBefore w:val="0"/>
        <w:widowControl w:val="0"/>
        <w:kinsoku/>
        <w:wordWrap/>
        <w:overflowPunct/>
        <w:topLinePunct w:val="0"/>
        <w:autoSpaceDE/>
        <w:autoSpaceDN/>
        <w:bidi w:val="0"/>
        <w:spacing w:line="600" w:lineRule="exact"/>
        <w:ind w:left="0" w:leftChars="0" w:firstLine="0" w:firstLineChars="0"/>
        <w:textAlignment w:val="auto"/>
        <w:rPr>
          <w:rFonts w:hint="eastAsia" w:ascii="宋体" w:hAnsi="宋体" w:eastAsia="宋体" w:cs="宋体"/>
          <w:color w:val="auto"/>
          <w:kern w:val="0"/>
          <w:sz w:val="28"/>
          <w:szCs w:val="28"/>
          <w:lang w:val="en-US" w:eastAsia="zh-CN"/>
        </w:rPr>
      </w:pPr>
    </w:p>
    <w:p w14:paraId="74E51B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cs="宋体"/>
          <w:color w:val="000000"/>
          <w:sz w:val="28"/>
          <w:szCs w:val="28"/>
          <w:vertAlign w:val="baseline"/>
          <w:lang w:val="en-US" w:eastAsia="zh-CN"/>
        </w:rPr>
      </w:pPr>
    </w:p>
    <w:p w14:paraId="28D9B812">
      <w:pPr>
        <w:bidi w:val="0"/>
        <w:rPr>
          <w:rFonts w:hint="eastAsia" w:ascii="Times New Roman" w:hAnsi="Times New Roman" w:eastAsia="宋体" w:cs="Times New Roman"/>
          <w:kern w:val="2"/>
          <w:sz w:val="21"/>
          <w:szCs w:val="24"/>
          <w:lang w:val="en-US" w:eastAsia="zh-CN" w:bidi="ar-SA"/>
        </w:rPr>
      </w:pPr>
      <w:r>
        <w:rPr>
          <w:sz w:val="21"/>
        </w:rPr>
        <mc:AlternateContent>
          <mc:Choice Requires="wps">
            <w:drawing>
              <wp:anchor distT="0" distB="0" distL="114300" distR="114300" simplePos="0" relativeHeight="251663360" behindDoc="0" locked="0" layoutInCell="1" allowOverlap="1">
                <wp:simplePos x="0" y="0"/>
                <wp:positionH relativeFrom="column">
                  <wp:posOffset>4455160</wp:posOffset>
                </wp:positionH>
                <wp:positionV relativeFrom="paragraph">
                  <wp:posOffset>184150</wp:posOffset>
                </wp:positionV>
                <wp:extent cx="996315" cy="355600"/>
                <wp:effectExtent l="6350" t="6350" r="18415" b="171450"/>
                <wp:wrapNone/>
                <wp:docPr id="1" name="圆角矩形标注 1"/>
                <wp:cNvGraphicFramePr/>
                <a:graphic xmlns:a="http://schemas.openxmlformats.org/drawingml/2006/main">
                  <a:graphicData uri="http://schemas.microsoft.com/office/word/2010/wordprocessingShape">
                    <wps:wsp>
                      <wps:cNvSpPr/>
                      <wps:spPr>
                        <a:xfrm>
                          <a:off x="5577205" y="5688965"/>
                          <a:ext cx="996315" cy="355600"/>
                        </a:xfrm>
                        <a:prstGeom prst="wedgeRoundRectCallout">
                          <a:avLst>
                            <a:gd name="adj1" fmla="val -37633"/>
                            <a:gd name="adj2" fmla="val 91071"/>
                            <a:gd name="adj3" fmla="val 16667"/>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5191370E">
                            <w:pPr>
                              <w:jc w:val="center"/>
                              <w:rPr>
                                <w:rFonts w:hint="default" w:eastAsia="宋体"/>
                                <w:lang w:val="en-US" w:eastAsia="zh-CN"/>
                              </w:rPr>
                            </w:pPr>
                            <w:r>
                              <w:rPr>
                                <w:rFonts w:hint="eastAsia"/>
                                <w:color w:val="0000FF"/>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0.8pt;margin-top:14.5pt;height:28pt;width:78.45pt;z-index:251663360;v-text-anchor:middle;mso-width-relative:page;mso-height-relative:page;" filled="f" stroked="t" coordsize="21600,21600" o:gfxdata="UEsDBAoAAAAAAIdO4kAAAAAAAAAAAAAAAAAEAAAAZHJzL1BLAwQUAAAACACHTuJA42wfF9gAAAAJ&#10;AQAADwAAAGRycy9kb3ducmV2LnhtbE2PwUrDQBCG74LvsIzgze4m0jTGbApW9CBIsRZ6nWTHJJid&#10;DdltWt/e7UlvM8zHP99frs92EDNNvnesIVkoEMSNMz23GvafL3c5CB+QDQ6OScMPeVhX11clFsad&#10;+IPmXWhFDGFfoIYuhLGQ0jcdWfQLNxLH25ebLIa4Tq00E55iuB1kqlQmLfYcP3Q40qaj5nt3tBqe&#10;V/PT5v1waNLa77f9K2Z8P71pfXuTqEcQgc7hD4aLflSHKjrV7sjGi0HDSiVZRDWkD7FTBPJlvgRR&#10;XwYFsirl/wbVL1BLAwQUAAAACACHTuJAsc/fL+ACAACWBQAADgAAAGRycy9lMm9Eb2MueG1srVTL&#10;btNAFN0j8Q+j2be2k9h5qE4VJRQhFVq1INaT8Tg2mhczkzrlA2DPGgnEBliz5nNa+AzujN00FBZd&#10;sLHv+B6fuffcx8HhRnB0wYytlcxxsh9jxCRVRS1XOX7x/GhvhJF1RBaEK8lyfMksPpw+fHDQ6Anr&#10;qUrxghkEJNJOGp3jyjk9iSJLKyaI3VeaSXCWygji4GhWUWFIA+yCR704zqJGmUIbRZm18HXROnHH&#10;aO5DqMqypmyh6Fow6VpWwzhxkJKtam3xNERbloy6k7K0zCGeY8jUhSdcAvbSP6PpAZmsDNFVTbsQ&#10;yH1CuJOTILWES7dUC+IIWpv6LypRU6OsKt0+VSJqEwmKQBZJfEeb84poFnIBqa3eim7/Hy19dnFq&#10;UF1AJ2AkiYCCX314++vL+58fv139+Hz96d31968o8To12k4Afq5PTXeyYPqkN6UR/g3poE2O03Q4&#10;7MUpRpdgZ6PROEtbndnGIQqA8TjrJ+CnAOinaRaHOkS3RNpY95gpgbyR44YVK3am1rI4g4LOCedq&#10;7YLc5OLYuqB70UVPileQSSk4lPGCcLTXH2b9flfnHVBvFzRO4mHIEQq4g+nvYpIsy4aeB+LsrgXr&#10;JlIfg1RHNeeho7hEDUjaG0JqiBIYkxLaE0yhQWorVxgRvoL5o86ERKzideF/90TWrJZzbhDEn+Pe&#10;o3QwSwKIr8VTVbSfh2m8la3Dh9D+IPLRLYit2l+Cq1VC1A6GmNcixyPg2TJxCSS+0G1pveU2y01X&#10;76UqLqFbjGrHyGp6VMMNx8S6U2JAcEgWNos7gUfJFSigOgujSpk3//ru8dDO4MWogTkEdV6viWEY&#10;8ScSGn2cDAZ+cMNhkEJjYWR2Pctdj1yLuQLRoAUgumB6vOM3ZmmUeAkLaOZvBReRFO5u69Ad5q7d&#10;D7DCKJvNAgyGVRN3LM819eRttWdrp8ra+ZbwQrXqdAcY11CObrX4fbB7DqjbdTr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ONsHxfYAAAACQEAAA8AAAAAAAAAAQAgAAAAIgAAAGRycy9kb3ducmV2&#10;LnhtbFBLAQIUABQAAAAIAIdO4kCxz98v4AIAAJYFAAAOAAAAAAAAAAEAIAAAACcBAABkcnMvZTJv&#10;RG9jLnhtbFBLBQYAAAAABgAGAFkBAAB5BgAAAAA=&#10;" adj="2671,30471,14400">
                <v:fill on="f" focussize="0,0"/>
                <v:stroke weight="1pt" color="#2E54A1 [2404]" miterlimit="8" joinstyle="miter"/>
                <v:imagedata o:title=""/>
                <o:lock v:ext="edit" aspectratio="f"/>
                <v:textbox>
                  <w:txbxContent>
                    <w:p w14:paraId="5191370E">
                      <w:pPr>
                        <w:jc w:val="center"/>
                        <w:rPr>
                          <w:rFonts w:hint="default" w:eastAsia="宋体"/>
                          <w:lang w:val="en-US" w:eastAsia="zh-CN"/>
                        </w:rPr>
                      </w:pPr>
                      <w:r>
                        <w:rPr>
                          <w:rFonts w:hint="eastAsia"/>
                          <w:color w:val="0000FF"/>
                          <w:lang w:val="en-US" w:eastAsia="zh-CN"/>
                        </w:rPr>
                        <w:t>项目所在地</w:t>
                      </w:r>
                    </w:p>
                  </w:txbxContent>
                </v:textbox>
              </v:shape>
            </w:pict>
          </mc:Fallback>
        </mc:AlternateContent>
      </w:r>
    </w:p>
    <w:p w14:paraId="02E549BB">
      <w:pPr>
        <w:bidi w:val="0"/>
        <w:rPr>
          <w:rFonts w:hint="eastAsia"/>
          <w:lang w:val="en-US" w:eastAsia="zh-CN"/>
        </w:rPr>
      </w:pPr>
    </w:p>
    <w:p w14:paraId="441DCAA6">
      <w:pPr>
        <w:bidi w:val="0"/>
        <w:rPr>
          <w:rFonts w:hint="eastAsia"/>
          <w:lang w:val="en-US" w:eastAsia="zh-CN"/>
        </w:rPr>
      </w:pPr>
    </w:p>
    <w:p w14:paraId="6510EBCE">
      <w:pPr>
        <w:bidi w:val="0"/>
        <w:rPr>
          <w:rFonts w:hint="eastAsia"/>
          <w:lang w:val="en-US" w:eastAsia="zh-CN"/>
        </w:rPr>
      </w:pPr>
    </w:p>
    <w:p w14:paraId="74160B9C">
      <w:pPr>
        <w:bidi w:val="0"/>
        <w:rPr>
          <w:rFonts w:hint="eastAsia"/>
          <w:lang w:val="en-US" w:eastAsia="zh-CN"/>
        </w:rPr>
      </w:pPr>
    </w:p>
    <w:p w14:paraId="07A1C630">
      <w:pPr>
        <w:bidi w:val="0"/>
        <w:rPr>
          <w:rFonts w:hint="eastAsia"/>
          <w:lang w:val="en-US" w:eastAsia="zh-CN"/>
        </w:rPr>
      </w:pPr>
    </w:p>
    <w:p w14:paraId="4E3168BB">
      <w:pPr>
        <w:bidi w:val="0"/>
        <w:rPr>
          <w:rFonts w:hint="eastAsia"/>
          <w:lang w:val="en-US" w:eastAsia="zh-CN"/>
        </w:rPr>
      </w:pPr>
    </w:p>
    <w:p w14:paraId="1680F740">
      <w:pPr>
        <w:bidi w:val="0"/>
        <w:rPr>
          <w:rFonts w:hint="eastAsia"/>
          <w:lang w:val="en-US" w:eastAsia="zh-CN"/>
        </w:rPr>
      </w:pPr>
    </w:p>
    <w:p w14:paraId="5E897D54">
      <w:pPr>
        <w:bidi w:val="0"/>
        <w:rPr>
          <w:rFonts w:hint="eastAsia"/>
          <w:lang w:val="en-US" w:eastAsia="zh-CN"/>
        </w:rPr>
      </w:pPr>
    </w:p>
    <w:p w14:paraId="5DB8EDAC">
      <w:pPr>
        <w:bidi w:val="0"/>
        <w:rPr>
          <w:rFonts w:hint="eastAsia"/>
          <w:lang w:val="en-US" w:eastAsia="zh-CN"/>
        </w:rPr>
      </w:pPr>
    </w:p>
    <w:p w14:paraId="068B57E2">
      <w:pPr>
        <w:bidi w:val="0"/>
        <w:rPr>
          <w:rFonts w:hint="eastAsia"/>
          <w:lang w:val="en-US" w:eastAsia="zh-CN"/>
        </w:rPr>
      </w:pPr>
    </w:p>
    <w:p w14:paraId="18404A32">
      <w:pPr>
        <w:bidi w:val="0"/>
        <w:rPr>
          <w:rFonts w:hint="eastAsia"/>
          <w:lang w:val="en-US" w:eastAsia="zh-CN"/>
        </w:rPr>
      </w:pPr>
    </w:p>
    <w:p w14:paraId="1899A28D">
      <w:pPr>
        <w:bidi w:val="0"/>
        <w:rPr>
          <w:rFonts w:hint="eastAsia"/>
          <w:lang w:val="en-US" w:eastAsia="zh-CN"/>
        </w:rPr>
      </w:pPr>
    </w:p>
    <w:p w14:paraId="7D0B73A6">
      <w:pPr>
        <w:bidi w:val="0"/>
        <w:rPr>
          <w:rFonts w:hint="eastAsia"/>
          <w:lang w:val="en-US" w:eastAsia="zh-CN"/>
        </w:rPr>
      </w:pPr>
    </w:p>
    <w:p w14:paraId="705535FA">
      <w:pPr>
        <w:bidi w:val="0"/>
        <w:rPr>
          <w:rFonts w:hint="eastAsia"/>
          <w:lang w:val="en-US" w:eastAsia="zh-CN"/>
        </w:rPr>
      </w:pPr>
    </w:p>
    <w:p w14:paraId="447F64AC">
      <w:pPr>
        <w:bidi w:val="0"/>
        <w:rPr>
          <w:rFonts w:hint="eastAsia"/>
          <w:lang w:val="en-US" w:eastAsia="zh-CN"/>
        </w:rPr>
      </w:pPr>
    </w:p>
    <w:p w14:paraId="6606BFBA">
      <w:pPr>
        <w:bidi w:val="0"/>
        <w:rPr>
          <w:rFonts w:hint="eastAsia"/>
          <w:lang w:val="en-US" w:eastAsia="zh-CN"/>
        </w:rPr>
      </w:pPr>
    </w:p>
    <w:p w14:paraId="34DED7D8">
      <w:pPr>
        <w:bidi w:val="0"/>
        <w:rPr>
          <w:rFonts w:hint="eastAsia"/>
          <w:lang w:val="en-US" w:eastAsia="zh-CN"/>
        </w:rPr>
      </w:pPr>
    </w:p>
    <w:p w14:paraId="3B1E3C96">
      <w:pPr>
        <w:bidi w:val="0"/>
        <w:rPr>
          <w:rFonts w:hint="eastAsia"/>
          <w:lang w:val="en-US" w:eastAsia="zh-CN"/>
        </w:rPr>
      </w:pPr>
    </w:p>
    <w:p w14:paraId="20149EFA">
      <w:pPr>
        <w:bidi w:val="0"/>
        <w:rPr>
          <w:rFonts w:hint="eastAsia"/>
          <w:lang w:val="en-US" w:eastAsia="zh-CN"/>
        </w:rPr>
      </w:pPr>
    </w:p>
    <w:p w14:paraId="71586CB5">
      <w:pPr>
        <w:bidi w:val="0"/>
        <w:jc w:val="center"/>
        <w:rPr>
          <w:rFonts w:hint="eastAsia"/>
          <w:lang w:val="en-US" w:eastAsia="zh-CN"/>
        </w:rPr>
      </w:pPr>
      <w:r>
        <w:rPr>
          <w:rFonts w:hint="eastAsia" w:ascii="宋体" w:hAnsi="宋体" w:eastAsia="宋体" w:cs="宋体"/>
          <w:color w:val="auto"/>
          <w:kern w:val="0"/>
          <w:sz w:val="24"/>
          <w:szCs w:val="24"/>
          <w:lang w:val="en-US" w:eastAsia="zh-CN"/>
        </w:rPr>
        <w:t>图2-1项目站址地理位置图</w:t>
      </w:r>
    </w:p>
    <w:p w14:paraId="201B4D67">
      <w:pPr>
        <w:bidi w:val="0"/>
        <w:rPr>
          <w:rFonts w:hint="eastAsia"/>
          <w:lang w:val="en-US" w:eastAsia="zh-CN"/>
        </w:rPr>
      </w:pPr>
    </w:p>
    <w:p w14:paraId="7611D58E">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pPr>
      <w:bookmarkStart w:id="63" w:name="_Toc28600"/>
      <w:bookmarkStart w:id="64" w:name="_Toc17595"/>
      <w:bookmarkStart w:id="65" w:name="_Toc5647"/>
      <w:bookmarkStart w:id="66" w:name="_Toc28533"/>
      <w:r>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t>2.2.2周边环境</w:t>
      </w:r>
      <w:bookmarkEnd w:id="63"/>
      <w:bookmarkEnd w:id="64"/>
      <w:bookmarkEnd w:id="65"/>
      <w:bookmarkEnd w:id="66"/>
    </w:p>
    <w:p w14:paraId="628E294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i w:val="0"/>
          <w:iCs w:val="0"/>
          <w:caps w:val="0"/>
          <w:spacing w:val="0"/>
          <w:sz w:val="28"/>
          <w:szCs w:val="28"/>
          <w:shd w:val="clear" w:fill="FFFFFF"/>
        </w:rPr>
        <w:t>加油站坐东向西布置，西面为剑兰公路，剑兰公路西面为商业用房（饭馆）；北面为民房，东面为养老院，南面为村道，村道南面为商业用房（饭馆）。加油站的北面、西面、南面均有架空电力线（杆高 11m）从站外穿过。加油站的东南角有个室外变压器（站外使用）。加油站作业区北侧布置辅助服务区（自助洗车装置），加油站作业区与辅助服务区（自助洗车装置）之间设置了明显的界限标识。加油站周边环境见图 2-2。</w:t>
      </w:r>
    </w:p>
    <w:p w14:paraId="753EDD92">
      <w:pPr>
        <w:bidi w:val="0"/>
        <w:jc w:val="center"/>
        <w:rPr>
          <w:rFonts w:hint="default" w:ascii="宋体" w:hAnsi="宋体" w:eastAsia="宋体" w:cs="宋体"/>
          <w:color w:val="000000"/>
          <w:kern w:val="2"/>
          <w:sz w:val="24"/>
          <w:szCs w:val="24"/>
          <w:lang w:val="en-US" w:eastAsia="zh-CN"/>
        </w:rPr>
      </w:pPr>
      <w:r>
        <w:rPr>
          <w:rFonts w:hint="eastAsia"/>
          <w:lang w:val="en-US" w:eastAsia="zh-CN"/>
        </w:rPr>
        <w:drawing>
          <wp:anchor distT="0" distB="0" distL="114935" distR="114935" simplePos="0" relativeHeight="251668480" behindDoc="1" locked="0" layoutInCell="1" allowOverlap="1">
            <wp:simplePos x="0" y="0"/>
            <wp:positionH relativeFrom="column">
              <wp:posOffset>7620</wp:posOffset>
            </wp:positionH>
            <wp:positionV relativeFrom="paragraph">
              <wp:posOffset>118110</wp:posOffset>
            </wp:positionV>
            <wp:extent cx="5757545" cy="3672840"/>
            <wp:effectExtent l="0" t="0" r="3175" b="0"/>
            <wp:wrapTight wrapText="bothSides">
              <wp:wrapPolygon>
                <wp:start x="0" y="0"/>
                <wp:lineTo x="0" y="21510"/>
                <wp:lineTo x="21555" y="21510"/>
                <wp:lineTo x="21555" y="0"/>
                <wp:lineTo x="0" y="0"/>
              </wp:wrapPolygon>
            </wp:wrapTight>
            <wp:docPr id="2" name="图片 2" descr="7353f68319844b07c482cfa199d2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53f68319844b07c482cfa199d26cb"/>
                    <pic:cNvPicPr>
                      <a:picLocks noChangeAspect="1"/>
                    </pic:cNvPicPr>
                  </pic:nvPicPr>
                  <pic:blipFill>
                    <a:blip r:embed="rId27"/>
                    <a:srcRect l="2877" t="8820" r="7105" b="7135"/>
                    <a:stretch>
                      <a:fillRect/>
                    </a:stretch>
                  </pic:blipFill>
                  <pic:spPr>
                    <a:xfrm>
                      <a:off x="0" y="0"/>
                      <a:ext cx="5757545" cy="3672840"/>
                    </a:xfrm>
                    <a:prstGeom prst="rect">
                      <a:avLst/>
                    </a:prstGeom>
                  </pic:spPr>
                </pic:pic>
              </a:graphicData>
            </a:graphic>
          </wp:anchor>
        </w:drawing>
      </w:r>
      <w:r>
        <w:rPr>
          <w:rFonts w:hint="eastAsia" w:ascii="宋体" w:hAnsi="宋体" w:eastAsia="宋体" w:cs="宋体"/>
          <w:color w:val="000000"/>
          <w:kern w:val="2"/>
          <w:sz w:val="24"/>
          <w:szCs w:val="24"/>
          <w:lang w:val="en-US" w:eastAsia="zh-CN"/>
        </w:rPr>
        <w:t>图2-2周边关系位置图</w:t>
      </w:r>
    </w:p>
    <w:p w14:paraId="34BA47BF">
      <w:pPr>
        <w:bidi w:val="0"/>
        <w:rPr>
          <w:rFonts w:hint="eastAsia" w:ascii="Times New Roman" w:hAnsi="Times New Roman" w:eastAsia="宋体" w:cs="Times New Roman"/>
          <w:kern w:val="2"/>
          <w:sz w:val="21"/>
          <w:szCs w:val="24"/>
          <w:lang w:val="en-US" w:eastAsia="zh-CN" w:bidi="ar-SA"/>
        </w:rPr>
      </w:pPr>
    </w:p>
    <w:p w14:paraId="0E58C4E5">
      <w:pPr>
        <w:pStyle w:val="33"/>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Hans"/>
        </w:rPr>
        <w:t>加油站周边100范围内无重要建、构筑物及设施，无军事设施等，加油站周边建构筑物与加油站油罐、加油机、通气管口等设施的安全距离满足《</w:t>
      </w:r>
      <w:r>
        <w:rPr>
          <w:rFonts w:hint="eastAsia" w:asciiTheme="minorEastAsia" w:hAnsiTheme="minorEastAsia" w:eastAsiaTheme="minorEastAsia" w:cstheme="minorEastAsia"/>
        </w:rPr>
        <w:t>汽车加油加气加氢站技术标准</w:t>
      </w:r>
      <w:r>
        <w:rPr>
          <w:rFonts w:hint="eastAsia" w:asciiTheme="minorEastAsia" w:hAnsiTheme="minorEastAsia" w:eastAsiaTheme="minorEastAsia" w:cstheme="minorEastAsia"/>
          <w:lang w:eastAsia="zh-Hans"/>
        </w:rPr>
        <w:t>》(GB50156-20</w:t>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eastAsia="zh-Hans"/>
        </w:rPr>
        <w:t>的相关</w:t>
      </w:r>
      <w:r>
        <w:rPr>
          <w:rFonts w:hint="eastAsia" w:asciiTheme="minorEastAsia" w:hAnsiTheme="minorEastAsia" w:eastAsiaTheme="minorEastAsia" w:cstheme="minorEastAsia"/>
        </w:rPr>
        <w:t>要</w:t>
      </w:r>
      <w:r>
        <w:rPr>
          <w:rFonts w:hint="eastAsia" w:asciiTheme="minorEastAsia" w:hAnsiTheme="minorEastAsia" w:eastAsiaTheme="minorEastAsia" w:cstheme="minorEastAsia"/>
          <w:lang w:eastAsia="zh-Hans"/>
        </w:rPr>
        <w:t>求</w:t>
      </w:r>
      <w:r>
        <w:rPr>
          <w:rFonts w:hint="eastAsia" w:asciiTheme="minorEastAsia" w:hAnsiTheme="minorEastAsia" w:eastAsiaTheme="minorEastAsia" w:cstheme="minorEastAsia"/>
        </w:rPr>
        <w:t>。</w:t>
      </w:r>
    </w:p>
    <w:p w14:paraId="161BF916">
      <w:pPr>
        <w:bidi w:val="0"/>
        <w:rPr>
          <w:rFonts w:hint="eastAsia"/>
          <w:lang w:val="en-US" w:eastAsia="zh-CN"/>
        </w:rPr>
      </w:pPr>
    </w:p>
    <w:p w14:paraId="2A2AE0B1">
      <w:pPr>
        <w:bidi w:val="0"/>
        <w:rPr>
          <w:rFonts w:hint="eastAsia"/>
          <w:lang w:val="en-US" w:eastAsia="zh-CN"/>
        </w:rPr>
      </w:pPr>
    </w:p>
    <w:p w14:paraId="160E6D78">
      <w:pPr>
        <w:bidi w:val="0"/>
        <w:rPr>
          <w:rFonts w:hint="eastAsia"/>
          <w:lang w:val="en-US" w:eastAsia="zh-CN"/>
        </w:rPr>
      </w:pPr>
    </w:p>
    <w:p w14:paraId="0858D6BE">
      <w:pPr>
        <w:bidi w:val="0"/>
        <w:rPr>
          <w:rFonts w:hint="eastAsia"/>
          <w:lang w:val="en-US" w:eastAsia="zh-CN"/>
        </w:rPr>
      </w:pPr>
    </w:p>
    <w:p w14:paraId="0D850337">
      <w:pPr>
        <w:pStyle w:val="33"/>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b w:val="0"/>
          <w:bCs w:val="0"/>
          <w:sz w:val="28"/>
          <w:szCs w:val="28"/>
          <w:lang w:eastAsia="zh-Hans"/>
        </w:rPr>
      </w:pPr>
      <w:r>
        <w:rPr>
          <w:b w:val="0"/>
          <w:bCs w:val="0"/>
          <w:sz w:val="28"/>
          <w:szCs w:val="28"/>
          <w:lang w:eastAsia="zh-Hans"/>
        </w:rPr>
        <w:t>表2-</w:t>
      </w:r>
      <w:r>
        <w:rPr>
          <w:rFonts w:hint="eastAsia"/>
          <w:b w:val="0"/>
          <w:bCs w:val="0"/>
          <w:sz w:val="28"/>
          <w:szCs w:val="28"/>
          <w:lang w:val="en-US" w:eastAsia="zh-CN"/>
        </w:rPr>
        <w:t>1</w:t>
      </w:r>
      <w:r>
        <w:rPr>
          <w:rFonts w:hint="eastAsia"/>
          <w:b w:val="0"/>
          <w:bCs w:val="0"/>
          <w:sz w:val="28"/>
          <w:szCs w:val="28"/>
          <w:lang w:eastAsia="zh-Hans"/>
        </w:rPr>
        <w:t xml:space="preserve">  汽油设备与站外建构筑物的防火距离一览表</w:t>
      </w:r>
    </w:p>
    <w:tbl>
      <w:tblPr>
        <w:tblStyle w:val="1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0"/>
        <w:gridCol w:w="1786"/>
        <w:gridCol w:w="721"/>
        <w:gridCol w:w="1981"/>
        <w:gridCol w:w="901"/>
        <w:gridCol w:w="1320"/>
        <w:gridCol w:w="1745"/>
        <w:gridCol w:w="8"/>
      </w:tblGrid>
      <w:tr w14:paraId="4F08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04" w:hRule="exact"/>
          <w:tblHeader/>
          <w:jc w:val="center"/>
        </w:trPr>
        <w:tc>
          <w:tcPr>
            <w:tcW w:w="3243" w:type="dxa"/>
            <w:gridSpan w:val="4"/>
            <w:vMerge w:val="restart"/>
            <w:noWrap w:val="0"/>
            <w:vAlign w:val="center"/>
          </w:tcPr>
          <w:p w14:paraId="65E22C53">
            <w:pPr>
              <w:snapToGrid w:val="0"/>
              <w:spacing w:before="120"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pacing w:val="10"/>
                <w:sz w:val="21"/>
                <w:szCs w:val="21"/>
              </w:rPr>
              <w:t>站外建（构）筑物</w:t>
            </w:r>
          </w:p>
        </w:tc>
        <w:tc>
          <w:tcPr>
            <w:tcW w:w="5947" w:type="dxa"/>
            <w:gridSpan w:val="4"/>
            <w:noWrap w:val="0"/>
            <w:vAlign w:val="center"/>
          </w:tcPr>
          <w:p w14:paraId="3939ED12">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pacing w:val="20"/>
                <w:sz w:val="21"/>
                <w:szCs w:val="21"/>
              </w:rPr>
              <w:t>站内</w:t>
            </w:r>
            <w:r>
              <w:rPr>
                <w:rFonts w:hint="eastAsia" w:ascii="宋体" w:hAnsi="宋体" w:eastAsia="宋体" w:cs="宋体"/>
                <w:b/>
                <w:bCs/>
                <w:color w:val="000000"/>
                <w:spacing w:val="10"/>
                <w:sz w:val="21"/>
                <w:szCs w:val="21"/>
              </w:rPr>
              <w:t>汽油设备（</w:t>
            </w:r>
            <w:r>
              <w:rPr>
                <w:rFonts w:hint="eastAsia" w:ascii="宋体" w:hAnsi="宋体" w:cs="宋体"/>
                <w:b/>
                <w:bCs/>
                <w:color w:val="000000"/>
                <w:spacing w:val="10"/>
                <w:sz w:val="21"/>
                <w:szCs w:val="21"/>
                <w:lang w:val="en-US" w:eastAsia="zh-CN"/>
              </w:rPr>
              <w:t>二</w:t>
            </w:r>
            <w:r>
              <w:rPr>
                <w:rFonts w:hint="eastAsia" w:ascii="宋体" w:hAnsi="宋体" w:eastAsia="宋体" w:cs="宋体"/>
                <w:b/>
                <w:bCs/>
                <w:color w:val="000000"/>
                <w:sz w:val="21"/>
                <w:szCs w:val="21"/>
              </w:rPr>
              <w:t>级站、</w:t>
            </w:r>
            <w:r>
              <w:rPr>
                <w:rFonts w:hint="eastAsia" w:ascii="宋体" w:hAnsi="宋体" w:eastAsia="宋体" w:cs="宋体"/>
                <w:b/>
                <w:color w:val="000000"/>
                <w:sz w:val="21"/>
                <w:szCs w:val="21"/>
              </w:rPr>
              <w:t>有卸油和加油油气回收系统</w:t>
            </w:r>
            <w:r>
              <w:rPr>
                <w:rFonts w:hint="eastAsia" w:ascii="宋体" w:hAnsi="宋体" w:eastAsia="宋体" w:cs="宋体"/>
                <w:b/>
                <w:bCs/>
                <w:color w:val="000000"/>
                <w:spacing w:val="10"/>
                <w:sz w:val="21"/>
                <w:szCs w:val="21"/>
              </w:rPr>
              <w:t>）</w:t>
            </w:r>
          </w:p>
        </w:tc>
      </w:tr>
      <w:tr w14:paraId="2944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15" w:hRule="atLeast"/>
          <w:tblHeader/>
          <w:jc w:val="center"/>
        </w:trPr>
        <w:tc>
          <w:tcPr>
            <w:tcW w:w="3243" w:type="dxa"/>
            <w:gridSpan w:val="4"/>
            <w:vMerge w:val="continue"/>
            <w:noWrap w:val="0"/>
            <w:vAlign w:val="center"/>
          </w:tcPr>
          <w:p w14:paraId="260F14B3">
            <w:pPr>
              <w:snapToGrid w:val="0"/>
              <w:spacing w:before="120" w:line="360" w:lineRule="auto"/>
              <w:jc w:val="center"/>
              <w:rPr>
                <w:rFonts w:hint="eastAsia" w:ascii="宋体" w:hAnsi="宋体" w:eastAsia="宋体" w:cs="宋体"/>
                <w:b/>
                <w:bCs/>
                <w:color w:val="000000"/>
                <w:spacing w:val="10"/>
                <w:sz w:val="21"/>
                <w:szCs w:val="21"/>
              </w:rPr>
            </w:pPr>
          </w:p>
        </w:tc>
        <w:tc>
          <w:tcPr>
            <w:tcW w:w="1981" w:type="dxa"/>
            <w:noWrap w:val="0"/>
            <w:vAlign w:val="center"/>
          </w:tcPr>
          <w:p w14:paraId="1F87F1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pacing w:val="20"/>
                <w:sz w:val="21"/>
                <w:szCs w:val="21"/>
              </w:rPr>
            </w:pPr>
            <w:r>
              <w:rPr>
                <w:rFonts w:hint="eastAsia" w:ascii="宋体" w:hAnsi="宋体" w:eastAsia="宋体" w:cs="宋体"/>
                <w:b/>
                <w:bCs/>
                <w:color w:val="000000"/>
                <w:spacing w:val="20"/>
                <w:sz w:val="21"/>
                <w:szCs w:val="21"/>
              </w:rPr>
              <w:t>埋地油罐</w:t>
            </w:r>
          </w:p>
        </w:tc>
        <w:tc>
          <w:tcPr>
            <w:tcW w:w="901" w:type="dxa"/>
            <w:noWrap w:val="0"/>
            <w:vAlign w:val="center"/>
          </w:tcPr>
          <w:p w14:paraId="2047099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加油机</w:t>
            </w:r>
          </w:p>
        </w:tc>
        <w:tc>
          <w:tcPr>
            <w:tcW w:w="1320" w:type="dxa"/>
            <w:noWrap w:val="0"/>
            <w:vAlign w:val="center"/>
          </w:tcPr>
          <w:p w14:paraId="3956D38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通气管管口</w:t>
            </w:r>
          </w:p>
        </w:tc>
        <w:tc>
          <w:tcPr>
            <w:tcW w:w="1745" w:type="dxa"/>
            <w:noWrap w:val="0"/>
            <w:vAlign w:val="center"/>
          </w:tcPr>
          <w:p w14:paraId="053D36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14:paraId="27A5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20DE8FD3">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重要公共建筑物</w:t>
            </w:r>
          </w:p>
        </w:tc>
        <w:tc>
          <w:tcPr>
            <w:tcW w:w="721" w:type="dxa"/>
            <w:noWrap w:val="0"/>
            <w:vAlign w:val="center"/>
          </w:tcPr>
          <w:p w14:paraId="49FBF0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0076BA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35</w:t>
            </w:r>
          </w:p>
        </w:tc>
        <w:tc>
          <w:tcPr>
            <w:tcW w:w="901" w:type="dxa"/>
            <w:noWrap w:val="0"/>
            <w:vAlign w:val="center"/>
          </w:tcPr>
          <w:p w14:paraId="244C34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35</w:t>
            </w:r>
          </w:p>
        </w:tc>
        <w:tc>
          <w:tcPr>
            <w:tcW w:w="1320" w:type="dxa"/>
            <w:noWrap w:val="0"/>
            <w:vAlign w:val="center"/>
          </w:tcPr>
          <w:p w14:paraId="52A2EB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35</w:t>
            </w:r>
          </w:p>
        </w:tc>
        <w:tc>
          <w:tcPr>
            <w:tcW w:w="1745" w:type="dxa"/>
            <w:vMerge w:val="restart"/>
            <w:noWrap w:val="0"/>
            <w:vAlign w:val="center"/>
          </w:tcPr>
          <w:p w14:paraId="07857F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0513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6DE61906">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52C0F8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3C7668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top"/>
          </w:tcPr>
          <w:p w14:paraId="34758F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top"/>
          </w:tcPr>
          <w:p w14:paraId="67B62F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0FA91F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108F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B204DC8">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4D4349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112241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279BC2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0C12CA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50796B1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5B1F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69C109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明火地点或散发火花地点</w:t>
            </w:r>
          </w:p>
        </w:tc>
        <w:tc>
          <w:tcPr>
            <w:tcW w:w="721" w:type="dxa"/>
            <w:noWrap w:val="0"/>
            <w:vAlign w:val="center"/>
          </w:tcPr>
          <w:p w14:paraId="5787AB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3676FFB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17.5</w:t>
            </w:r>
          </w:p>
        </w:tc>
        <w:tc>
          <w:tcPr>
            <w:tcW w:w="901" w:type="dxa"/>
            <w:shd w:val="clear" w:color="auto" w:fill="auto"/>
            <w:noWrap w:val="0"/>
            <w:vAlign w:val="center"/>
          </w:tcPr>
          <w:p w14:paraId="557B99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12.5</w:t>
            </w:r>
          </w:p>
        </w:tc>
        <w:tc>
          <w:tcPr>
            <w:tcW w:w="1320" w:type="dxa"/>
            <w:shd w:val="clear" w:color="auto" w:fill="auto"/>
            <w:noWrap w:val="0"/>
            <w:vAlign w:val="center"/>
          </w:tcPr>
          <w:p w14:paraId="55542C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12.5</w:t>
            </w:r>
          </w:p>
        </w:tc>
        <w:tc>
          <w:tcPr>
            <w:tcW w:w="1745" w:type="dxa"/>
            <w:vMerge w:val="restart"/>
            <w:shd w:val="clear" w:color="auto" w:fill="auto"/>
            <w:noWrap w:val="0"/>
            <w:vAlign w:val="center"/>
          </w:tcPr>
          <w:p w14:paraId="18B387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无相关设施</w:t>
            </w:r>
          </w:p>
        </w:tc>
      </w:tr>
      <w:tr w14:paraId="712C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342C1004">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62F4B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shd w:val="clear" w:color="auto" w:fill="auto"/>
            <w:noWrap w:val="0"/>
            <w:vAlign w:val="center"/>
          </w:tcPr>
          <w:p w14:paraId="3C6D13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901" w:type="dxa"/>
            <w:shd w:val="clear" w:color="auto" w:fill="auto"/>
            <w:noWrap w:val="0"/>
            <w:vAlign w:val="top"/>
          </w:tcPr>
          <w:p w14:paraId="67D6EC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1320" w:type="dxa"/>
            <w:shd w:val="clear" w:color="auto" w:fill="auto"/>
            <w:noWrap w:val="0"/>
            <w:vAlign w:val="top"/>
          </w:tcPr>
          <w:p w14:paraId="7344AA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1745" w:type="dxa"/>
            <w:vMerge w:val="continue"/>
            <w:shd w:val="clear" w:color="auto" w:fill="auto"/>
            <w:noWrap w:val="0"/>
            <w:vAlign w:val="center"/>
          </w:tcPr>
          <w:p w14:paraId="03FCD3E4">
            <w:pPr>
              <w:snapToGrid w:val="0"/>
              <w:spacing w:line="360" w:lineRule="auto"/>
              <w:jc w:val="center"/>
              <w:rPr>
                <w:rFonts w:hint="eastAsia" w:ascii="宋体" w:hAnsi="宋体" w:eastAsia="宋体" w:cs="宋体"/>
                <w:color w:val="000000"/>
                <w:sz w:val="21"/>
                <w:szCs w:val="21"/>
              </w:rPr>
            </w:pPr>
          </w:p>
        </w:tc>
      </w:tr>
      <w:tr w14:paraId="7B37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09EBEA0F">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3D8C8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12544C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303900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0666CB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shd w:val="clear" w:color="auto" w:fill="auto"/>
            <w:noWrap w:val="0"/>
            <w:vAlign w:val="center"/>
          </w:tcPr>
          <w:p w14:paraId="3B05964F">
            <w:pPr>
              <w:snapToGrid w:val="0"/>
              <w:spacing w:line="360" w:lineRule="auto"/>
              <w:jc w:val="center"/>
              <w:rPr>
                <w:rFonts w:hint="eastAsia" w:ascii="宋体" w:hAnsi="宋体" w:eastAsia="宋体" w:cs="宋体"/>
                <w:color w:val="000000"/>
                <w:sz w:val="21"/>
                <w:szCs w:val="21"/>
              </w:rPr>
            </w:pPr>
          </w:p>
        </w:tc>
      </w:tr>
      <w:tr w14:paraId="0FB6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restart"/>
            <w:noWrap w:val="0"/>
            <w:vAlign w:val="center"/>
          </w:tcPr>
          <w:p w14:paraId="604B22AD">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民用建筑物保护类别</w:t>
            </w:r>
          </w:p>
        </w:tc>
        <w:tc>
          <w:tcPr>
            <w:tcW w:w="1816" w:type="dxa"/>
            <w:gridSpan w:val="2"/>
            <w:vMerge w:val="restart"/>
            <w:noWrap w:val="0"/>
            <w:vAlign w:val="center"/>
          </w:tcPr>
          <w:p w14:paraId="7E4DFE5B">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一类保护物</w:t>
            </w:r>
          </w:p>
        </w:tc>
        <w:tc>
          <w:tcPr>
            <w:tcW w:w="721" w:type="dxa"/>
            <w:noWrap w:val="0"/>
            <w:vAlign w:val="center"/>
          </w:tcPr>
          <w:p w14:paraId="305CDD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B3B21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4</w:t>
            </w:r>
          </w:p>
        </w:tc>
        <w:tc>
          <w:tcPr>
            <w:tcW w:w="901" w:type="dxa"/>
            <w:noWrap w:val="0"/>
            <w:vAlign w:val="center"/>
          </w:tcPr>
          <w:p w14:paraId="4DC380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w:t>
            </w:r>
          </w:p>
        </w:tc>
        <w:tc>
          <w:tcPr>
            <w:tcW w:w="1320" w:type="dxa"/>
            <w:noWrap w:val="0"/>
            <w:vAlign w:val="center"/>
          </w:tcPr>
          <w:p w14:paraId="40D03F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w:t>
            </w:r>
          </w:p>
        </w:tc>
        <w:tc>
          <w:tcPr>
            <w:tcW w:w="1745" w:type="dxa"/>
            <w:vMerge w:val="restart"/>
            <w:noWrap w:val="0"/>
            <w:vAlign w:val="center"/>
          </w:tcPr>
          <w:p w14:paraId="6E6DE6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东面养老院</w:t>
            </w:r>
          </w:p>
        </w:tc>
      </w:tr>
      <w:tr w14:paraId="2DEC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4B3357E4">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3E170EAC">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4DF1CE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454760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35</w:t>
            </w:r>
          </w:p>
        </w:tc>
        <w:tc>
          <w:tcPr>
            <w:tcW w:w="901" w:type="dxa"/>
            <w:noWrap w:val="0"/>
            <w:vAlign w:val="center"/>
          </w:tcPr>
          <w:p w14:paraId="0648ED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55</w:t>
            </w:r>
          </w:p>
        </w:tc>
        <w:tc>
          <w:tcPr>
            <w:tcW w:w="1320" w:type="dxa"/>
            <w:noWrap w:val="0"/>
            <w:vAlign w:val="center"/>
          </w:tcPr>
          <w:p w14:paraId="7FF111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55.5</w:t>
            </w:r>
          </w:p>
        </w:tc>
        <w:tc>
          <w:tcPr>
            <w:tcW w:w="1745" w:type="dxa"/>
            <w:vMerge w:val="continue"/>
            <w:noWrap w:val="0"/>
            <w:vAlign w:val="center"/>
          </w:tcPr>
          <w:p w14:paraId="7168A4CB">
            <w:pPr>
              <w:snapToGrid w:val="0"/>
              <w:spacing w:line="360" w:lineRule="auto"/>
              <w:jc w:val="center"/>
              <w:rPr>
                <w:rFonts w:hint="eastAsia" w:ascii="宋体" w:hAnsi="宋体" w:eastAsia="宋体" w:cs="宋体"/>
                <w:color w:val="000000"/>
                <w:sz w:val="21"/>
                <w:szCs w:val="21"/>
              </w:rPr>
            </w:pPr>
          </w:p>
        </w:tc>
      </w:tr>
      <w:tr w14:paraId="7B8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1B095EA0">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48E3872A">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3E9DA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5055E9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符合</w:t>
            </w:r>
          </w:p>
        </w:tc>
        <w:tc>
          <w:tcPr>
            <w:tcW w:w="901" w:type="dxa"/>
            <w:noWrap w:val="0"/>
            <w:vAlign w:val="center"/>
          </w:tcPr>
          <w:p w14:paraId="1ACCD5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符合</w:t>
            </w:r>
          </w:p>
        </w:tc>
        <w:tc>
          <w:tcPr>
            <w:tcW w:w="1320" w:type="dxa"/>
            <w:noWrap w:val="0"/>
            <w:vAlign w:val="center"/>
          </w:tcPr>
          <w:p w14:paraId="653CD1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符合</w:t>
            </w:r>
          </w:p>
        </w:tc>
        <w:tc>
          <w:tcPr>
            <w:tcW w:w="1745" w:type="dxa"/>
            <w:vMerge w:val="continue"/>
            <w:noWrap w:val="0"/>
            <w:vAlign w:val="center"/>
          </w:tcPr>
          <w:p w14:paraId="1DBB9F1E">
            <w:pPr>
              <w:snapToGrid w:val="0"/>
              <w:spacing w:line="360" w:lineRule="auto"/>
              <w:jc w:val="center"/>
              <w:rPr>
                <w:rFonts w:hint="eastAsia" w:ascii="宋体" w:hAnsi="宋体" w:eastAsia="宋体" w:cs="宋体"/>
                <w:color w:val="000000"/>
                <w:sz w:val="21"/>
                <w:szCs w:val="21"/>
              </w:rPr>
            </w:pPr>
          </w:p>
        </w:tc>
      </w:tr>
      <w:tr w14:paraId="559F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1C334671">
            <w:pPr>
              <w:snapToGrid w:val="0"/>
              <w:spacing w:line="360" w:lineRule="auto"/>
              <w:jc w:val="center"/>
              <w:rPr>
                <w:rFonts w:hint="eastAsia" w:ascii="宋体" w:hAnsi="宋体" w:eastAsia="宋体" w:cs="宋体"/>
                <w:b/>
                <w:bCs/>
                <w:color w:val="000000"/>
                <w:sz w:val="21"/>
                <w:szCs w:val="21"/>
              </w:rPr>
            </w:pPr>
          </w:p>
        </w:tc>
        <w:tc>
          <w:tcPr>
            <w:tcW w:w="1816" w:type="dxa"/>
            <w:gridSpan w:val="2"/>
            <w:vMerge w:val="restart"/>
            <w:noWrap w:val="0"/>
            <w:vAlign w:val="center"/>
          </w:tcPr>
          <w:p w14:paraId="69CE3EA6">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二类保护物</w:t>
            </w:r>
          </w:p>
        </w:tc>
        <w:tc>
          <w:tcPr>
            <w:tcW w:w="721" w:type="dxa"/>
            <w:noWrap w:val="0"/>
            <w:vAlign w:val="center"/>
          </w:tcPr>
          <w:p w14:paraId="6C65D1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2E80EB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w:t>
            </w:r>
          </w:p>
        </w:tc>
        <w:tc>
          <w:tcPr>
            <w:tcW w:w="901" w:type="dxa"/>
            <w:noWrap w:val="0"/>
            <w:vAlign w:val="center"/>
          </w:tcPr>
          <w:p w14:paraId="20D62C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8.5</w:t>
            </w:r>
          </w:p>
        </w:tc>
        <w:tc>
          <w:tcPr>
            <w:tcW w:w="1320" w:type="dxa"/>
            <w:noWrap w:val="0"/>
            <w:vAlign w:val="center"/>
          </w:tcPr>
          <w:p w14:paraId="73EFEC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8.5</w:t>
            </w:r>
          </w:p>
        </w:tc>
        <w:tc>
          <w:tcPr>
            <w:tcW w:w="1745" w:type="dxa"/>
            <w:vMerge w:val="restart"/>
            <w:noWrap w:val="0"/>
            <w:vAlign w:val="center"/>
          </w:tcPr>
          <w:p w14:paraId="7542050E">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3EFD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65801E1B">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763D54AD">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73DE9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6B9E8A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47255E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06DA18F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095EEEA7">
            <w:pPr>
              <w:snapToGrid w:val="0"/>
              <w:spacing w:line="360" w:lineRule="auto"/>
              <w:jc w:val="center"/>
              <w:rPr>
                <w:rFonts w:hint="eastAsia" w:ascii="宋体" w:hAnsi="宋体" w:eastAsia="宋体" w:cs="宋体"/>
                <w:color w:val="000000"/>
                <w:sz w:val="21"/>
                <w:szCs w:val="21"/>
              </w:rPr>
            </w:pPr>
          </w:p>
        </w:tc>
      </w:tr>
      <w:tr w14:paraId="08A7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3D6EB0D4">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70001E56">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479A01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6DAF44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503B41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6C9558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6DBF82A5">
            <w:pPr>
              <w:snapToGrid w:val="0"/>
              <w:spacing w:line="360" w:lineRule="auto"/>
              <w:jc w:val="center"/>
              <w:rPr>
                <w:rFonts w:hint="eastAsia" w:ascii="宋体" w:hAnsi="宋体" w:eastAsia="宋体" w:cs="宋体"/>
                <w:color w:val="000000"/>
                <w:sz w:val="21"/>
                <w:szCs w:val="21"/>
              </w:rPr>
            </w:pPr>
          </w:p>
        </w:tc>
      </w:tr>
      <w:tr w14:paraId="5B93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701E2532">
            <w:pPr>
              <w:snapToGrid w:val="0"/>
              <w:spacing w:line="360" w:lineRule="auto"/>
              <w:jc w:val="center"/>
              <w:rPr>
                <w:rFonts w:hint="eastAsia" w:ascii="宋体" w:hAnsi="宋体" w:eastAsia="宋体" w:cs="宋体"/>
                <w:b/>
                <w:bCs/>
                <w:color w:val="000000"/>
                <w:sz w:val="21"/>
                <w:szCs w:val="21"/>
              </w:rPr>
            </w:pPr>
          </w:p>
        </w:tc>
        <w:tc>
          <w:tcPr>
            <w:tcW w:w="1816" w:type="dxa"/>
            <w:gridSpan w:val="2"/>
            <w:vMerge w:val="restart"/>
            <w:noWrap w:val="0"/>
            <w:vAlign w:val="center"/>
          </w:tcPr>
          <w:p w14:paraId="7FE0A700">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三类保护物</w:t>
            </w:r>
          </w:p>
        </w:tc>
        <w:tc>
          <w:tcPr>
            <w:tcW w:w="721" w:type="dxa"/>
            <w:noWrap w:val="0"/>
            <w:vAlign w:val="center"/>
          </w:tcPr>
          <w:p w14:paraId="53566A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规范</w:t>
            </w:r>
          </w:p>
        </w:tc>
        <w:tc>
          <w:tcPr>
            <w:tcW w:w="1981" w:type="dxa"/>
            <w:noWrap w:val="0"/>
            <w:vAlign w:val="center"/>
          </w:tcPr>
          <w:p w14:paraId="7BC081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8.5</w:t>
            </w:r>
          </w:p>
        </w:tc>
        <w:tc>
          <w:tcPr>
            <w:tcW w:w="901" w:type="dxa"/>
            <w:noWrap w:val="0"/>
            <w:vAlign w:val="center"/>
          </w:tcPr>
          <w:p w14:paraId="442112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320" w:type="dxa"/>
            <w:noWrap w:val="0"/>
            <w:vAlign w:val="center"/>
          </w:tcPr>
          <w:p w14:paraId="7E0DF31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745" w:type="dxa"/>
            <w:vMerge w:val="restart"/>
            <w:noWrap w:val="0"/>
            <w:vAlign w:val="center"/>
          </w:tcPr>
          <w:p w14:paraId="6B4405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北面民房</w:t>
            </w:r>
          </w:p>
        </w:tc>
      </w:tr>
      <w:tr w14:paraId="6A1E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37337789">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0814FDB7">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2A300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实测</w:t>
            </w:r>
          </w:p>
        </w:tc>
        <w:tc>
          <w:tcPr>
            <w:tcW w:w="1981" w:type="dxa"/>
            <w:noWrap w:val="0"/>
            <w:vAlign w:val="center"/>
          </w:tcPr>
          <w:p w14:paraId="2B5887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22.2</w:t>
            </w:r>
          </w:p>
        </w:tc>
        <w:tc>
          <w:tcPr>
            <w:tcW w:w="901" w:type="dxa"/>
            <w:noWrap w:val="0"/>
            <w:vAlign w:val="center"/>
          </w:tcPr>
          <w:p w14:paraId="5BEF0D0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28.4</w:t>
            </w:r>
          </w:p>
        </w:tc>
        <w:tc>
          <w:tcPr>
            <w:tcW w:w="1320" w:type="dxa"/>
            <w:noWrap w:val="0"/>
            <w:vAlign w:val="center"/>
          </w:tcPr>
          <w:p w14:paraId="386275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27.9</w:t>
            </w:r>
          </w:p>
        </w:tc>
        <w:tc>
          <w:tcPr>
            <w:tcW w:w="1745" w:type="dxa"/>
            <w:vMerge w:val="continue"/>
            <w:noWrap w:val="0"/>
            <w:vAlign w:val="center"/>
          </w:tcPr>
          <w:p w14:paraId="4FFD79AC">
            <w:pPr>
              <w:snapToGrid w:val="0"/>
              <w:spacing w:line="360" w:lineRule="auto"/>
              <w:jc w:val="center"/>
              <w:rPr>
                <w:rFonts w:hint="eastAsia" w:ascii="宋体" w:hAnsi="宋体" w:eastAsia="宋体" w:cs="宋体"/>
                <w:color w:val="000000"/>
                <w:sz w:val="21"/>
                <w:szCs w:val="21"/>
              </w:rPr>
            </w:pPr>
          </w:p>
        </w:tc>
      </w:tr>
      <w:tr w14:paraId="153D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7D702BC8">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2D0C9F84">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5EF638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50D38A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0549EB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42DFA6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noWrap w:val="0"/>
            <w:vAlign w:val="center"/>
          </w:tcPr>
          <w:p w14:paraId="4DDE3502">
            <w:pPr>
              <w:snapToGrid w:val="0"/>
              <w:spacing w:line="360" w:lineRule="auto"/>
              <w:jc w:val="center"/>
              <w:rPr>
                <w:rFonts w:hint="eastAsia" w:ascii="宋体" w:hAnsi="宋体" w:eastAsia="宋体" w:cs="宋体"/>
                <w:color w:val="000000"/>
                <w:sz w:val="21"/>
                <w:szCs w:val="21"/>
              </w:rPr>
            </w:pPr>
          </w:p>
        </w:tc>
      </w:tr>
      <w:tr w14:paraId="1E2C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3DE4D4B1">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10AEE01F">
            <w:pPr>
              <w:snapToGrid w:val="0"/>
              <w:spacing w:line="360" w:lineRule="auto"/>
              <w:jc w:val="center"/>
              <w:rPr>
                <w:rFonts w:hint="eastAsia" w:ascii="宋体" w:hAnsi="宋体" w:eastAsia="宋体" w:cs="宋体"/>
                <w:sz w:val="21"/>
                <w:szCs w:val="21"/>
              </w:rPr>
            </w:pPr>
          </w:p>
        </w:tc>
        <w:tc>
          <w:tcPr>
            <w:tcW w:w="721" w:type="dxa"/>
            <w:noWrap w:val="0"/>
            <w:vAlign w:val="center"/>
          </w:tcPr>
          <w:p w14:paraId="12BA10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规范</w:t>
            </w:r>
          </w:p>
        </w:tc>
        <w:tc>
          <w:tcPr>
            <w:tcW w:w="1981" w:type="dxa"/>
            <w:shd w:val="clear" w:color="auto" w:fill="auto"/>
            <w:noWrap w:val="0"/>
            <w:vAlign w:val="center"/>
          </w:tcPr>
          <w:p w14:paraId="06B232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8.5</w:t>
            </w:r>
          </w:p>
        </w:tc>
        <w:tc>
          <w:tcPr>
            <w:tcW w:w="901" w:type="dxa"/>
            <w:shd w:val="clear" w:color="auto" w:fill="auto"/>
            <w:noWrap w:val="0"/>
            <w:vAlign w:val="center"/>
          </w:tcPr>
          <w:p w14:paraId="45A80F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7</w:t>
            </w:r>
          </w:p>
        </w:tc>
        <w:tc>
          <w:tcPr>
            <w:tcW w:w="1320" w:type="dxa"/>
            <w:shd w:val="clear" w:color="auto" w:fill="auto"/>
            <w:noWrap w:val="0"/>
            <w:vAlign w:val="center"/>
          </w:tcPr>
          <w:p w14:paraId="6B2E7A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7</w:t>
            </w:r>
          </w:p>
        </w:tc>
        <w:tc>
          <w:tcPr>
            <w:tcW w:w="1753" w:type="dxa"/>
            <w:gridSpan w:val="2"/>
            <w:vMerge w:val="restart"/>
            <w:noWrap w:val="0"/>
            <w:vAlign w:val="center"/>
          </w:tcPr>
          <w:p w14:paraId="5F73D4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西面为商业用房（饭馆）</w:t>
            </w:r>
          </w:p>
        </w:tc>
      </w:tr>
      <w:tr w14:paraId="3A6F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36E2681E">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51CA83DA">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08A5919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实测</w:t>
            </w:r>
          </w:p>
        </w:tc>
        <w:tc>
          <w:tcPr>
            <w:tcW w:w="1981" w:type="dxa"/>
            <w:noWrap w:val="0"/>
            <w:vAlign w:val="center"/>
          </w:tcPr>
          <w:p w14:paraId="79553F6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60.5</w:t>
            </w:r>
          </w:p>
        </w:tc>
        <w:tc>
          <w:tcPr>
            <w:tcW w:w="901" w:type="dxa"/>
            <w:noWrap w:val="0"/>
            <w:vAlign w:val="center"/>
          </w:tcPr>
          <w:p w14:paraId="3D95F7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33.2</w:t>
            </w:r>
          </w:p>
        </w:tc>
        <w:tc>
          <w:tcPr>
            <w:tcW w:w="1320" w:type="dxa"/>
            <w:noWrap w:val="0"/>
            <w:vAlign w:val="center"/>
          </w:tcPr>
          <w:p w14:paraId="4367C3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45.2</w:t>
            </w:r>
          </w:p>
        </w:tc>
        <w:tc>
          <w:tcPr>
            <w:tcW w:w="1753" w:type="dxa"/>
            <w:gridSpan w:val="2"/>
            <w:vMerge w:val="continue"/>
            <w:noWrap w:val="0"/>
            <w:vAlign w:val="center"/>
          </w:tcPr>
          <w:p w14:paraId="0D9D9E1B">
            <w:pPr>
              <w:snapToGrid w:val="0"/>
              <w:spacing w:line="360" w:lineRule="auto"/>
              <w:jc w:val="center"/>
              <w:rPr>
                <w:rFonts w:hint="eastAsia" w:ascii="宋体" w:hAnsi="宋体" w:eastAsia="宋体" w:cs="宋体"/>
                <w:color w:val="000000"/>
                <w:sz w:val="21"/>
                <w:szCs w:val="21"/>
              </w:rPr>
            </w:pPr>
          </w:p>
        </w:tc>
      </w:tr>
      <w:tr w14:paraId="1810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61D7F4CA">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3CFF7CA0">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0FD4C2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10D2AC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0492C0C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58A695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28F14168">
            <w:pPr>
              <w:snapToGrid w:val="0"/>
              <w:spacing w:line="360" w:lineRule="auto"/>
              <w:jc w:val="center"/>
              <w:rPr>
                <w:rFonts w:hint="eastAsia" w:ascii="宋体" w:hAnsi="宋体" w:eastAsia="宋体" w:cs="宋体"/>
                <w:color w:val="000000"/>
                <w:sz w:val="21"/>
                <w:szCs w:val="21"/>
              </w:rPr>
            </w:pPr>
          </w:p>
        </w:tc>
      </w:tr>
      <w:tr w14:paraId="5FF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2676973">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7AC61D2B">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3205FE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规范</w:t>
            </w:r>
          </w:p>
        </w:tc>
        <w:tc>
          <w:tcPr>
            <w:tcW w:w="1981" w:type="dxa"/>
            <w:noWrap w:val="0"/>
            <w:vAlign w:val="center"/>
          </w:tcPr>
          <w:p w14:paraId="0EAF67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8.5</w:t>
            </w:r>
          </w:p>
        </w:tc>
        <w:tc>
          <w:tcPr>
            <w:tcW w:w="901" w:type="dxa"/>
            <w:noWrap w:val="0"/>
            <w:vAlign w:val="center"/>
          </w:tcPr>
          <w:p w14:paraId="00AC8F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7</w:t>
            </w:r>
          </w:p>
        </w:tc>
        <w:tc>
          <w:tcPr>
            <w:tcW w:w="1320" w:type="dxa"/>
            <w:noWrap w:val="0"/>
            <w:vAlign w:val="center"/>
          </w:tcPr>
          <w:p w14:paraId="0E99E4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7</w:t>
            </w:r>
          </w:p>
        </w:tc>
        <w:tc>
          <w:tcPr>
            <w:tcW w:w="1753" w:type="dxa"/>
            <w:gridSpan w:val="2"/>
            <w:vMerge w:val="restart"/>
            <w:noWrap w:val="0"/>
            <w:vAlign w:val="center"/>
          </w:tcPr>
          <w:p w14:paraId="52993CA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南面为商业用房（饭馆）</w:t>
            </w:r>
          </w:p>
        </w:tc>
      </w:tr>
      <w:tr w14:paraId="74F8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62DC5C5C">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0A5FFF11">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74A2ED1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实测</w:t>
            </w:r>
          </w:p>
        </w:tc>
        <w:tc>
          <w:tcPr>
            <w:tcW w:w="1981" w:type="dxa"/>
            <w:noWrap w:val="0"/>
            <w:vAlign w:val="center"/>
          </w:tcPr>
          <w:p w14:paraId="7C9FD8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63</w:t>
            </w:r>
          </w:p>
        </w:tc>
        <w:tc>
          <w:tcPr>
            <w:tcW w:w="901" w:type="dxa"/>
            <w:noWrap w:val="0"/>
            <w:vAlign w:val="center"/>
          </w:tcPr>
          <w:p w14:paraId="39985B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w:t>
            </w:r>
          </w:p>
        </w:tc>
        <w:tc>
          <w:tcPr>
            <w:tcW w:w="1320" w:type="dxa"/>
            <w:noWrap w:val="0"/>
            <w:vAlign w:val="center"/>
          </w:tcPr>
          <w:p w14:paraId="542F6C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46.3</w:t>
            </w:r>
          </w:p>
        </w:tc>
        <w:tc>
          <w:tcPr>
            <w:tcW w:w="1753" w:type="dxa"/>
            <w:gridSpan w:val="2"/>
            <w:vMerge w:val="continue"/>
            <w:noWrap w:val="0"/>
            <w:vAlign w:val="center"/>
          </w:tcPr>
          <w:p w14:paraId="35801E0E">
            <w:pPr>
              <w:snapToGrid w:val="0"/>
              <w:spacing w:line="360" w:lineRule="auto"/>
              <w:jc w:val="center"/>
              <w:rPr>
                <w:rFonts w:hint="eastAsia" w:ascii="宋体" w:hAnsi="宋体" w:eastAsia="宋体" w:cs="宋体"/>
                <w:color w:val="000000"/>
                <w:sz w:val="21"/>
                <w:szCs w:val="21"/>
              </w:rPr>
            </w:pPr>
          </w:p>
        </w:tc>
      </w:tr>
      <w:tr w14:paraId="1054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DBAB879">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29C4266C">
            <w:pPr>
              <w:snapToGrid w:val="0"/>
              <w:spacing w:line="360" w:lineRule="auto"/>
              <w:jc w:val="center"/>
              <w:rPr>
                <w:rFonts w:hint="eastAsia" w:ascii="宋体" w:hAnsi="宋体" w:eastAsia="宋体" w:cs="宋体"/>
                <w:sz w:val="21"/>
                <w:szCs w:val="21"/>
              </w:rPr>
            </w:pPr>
          </w:p>
        </w:tc>
        <w:tc>
          <w:tcPr>
            <w:tcW w:w="721" w:type="dxa"/>
            <w:noWrap w:val="0"/>
            <w:vAlign w:val="center"/>
          </w:tcPr>
          <w:p w14:paraId="0A903B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5B8E73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072386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13BF90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595AA958">
            <w:pPr>
              <w:snapToGrid w:val="0"/>
              <w:spacing w:line="360" w:lineRule="auto"/>
              <w:jc w:val="center"/>
              <w:rPr>
                <w:rFonts w:hint="eastAsia" w:ascii="宋体" w:hAnsi="宋体" w:eastAsia="宋体" w:cs="宋体"/>
                <w:color w:val="000000"/>
                <w:sz w:val="21"/>
                <w:szCs w:val="21"/>
              </w:rPr>
            </w:pPr>
          </w:p>
        </w:tc>
      </w:tr>
      <w:tr w14:paraId="3371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76DF3A57">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2E7B324B">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5EB453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规范</w:t>
            </w:r>
          </w:p>
        </w:tc>
        <w:tc>
          <w:tcPr>
            <w:tcW w:w="1981" w:type="dxa"/>
            <w:noWrap w:val="0"/>
            <w:vAlign w:val="center"/>
          </w:tcPr>
          <w:p w14:paraId="6718D2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8.5</w:t>
            </w:r>
          </w:p>
        </w:tc>
        <w:tc>
          <w:tcPr>
            <w:tcW w:w="901" w:type="dxa"/>
            <w:shd w:val="clear" w:color="auto" w:fill="auto"/>
            <w:noWrap w:val="0"/>
            <w:vAlign w:val="center"/>
          </w:tcPr>
          <w:p w14:paraId="4623D6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320" w:type="dxa"/>
            <w:shd w:val="clear" w:color="auto" w:fill="auto"/>
            <w:noWrap w:val="0"/>
            <w:vAlign w:val="center"/>
          </w:tcPr>
          <w:p w14:paraId="5CEDCA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753" w:type="dxa"/>
            <w:gridSpan w:val="2"/>
            <w:vMerge w:val="restart"/>
            <w:noWrap w:val="0"/>
            <w:vAlign w:val="center"/>
          </w:tcPr>
          <w:p w14:paraId="031AFA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加油站北侧洗车场</w:t>
            </w:r>
          </w:p>
        </w:tc>
      </w:tr>
      <w:tr w14:paraId="49A2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B3683A9">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0D5744C0">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572802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实测</w:t>
            </w:r>
          </w:p>
        </w:tc>
        <w:tc>
          <w:tcPr>
            <w:tcW w:w="1981" w:type="dxa"/>
            <w:noWrap w:val="0"/>
            <w:vAlign w:val="center"/>
          </w:tcPr>
          <w:p w14:paraId="77C27C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18.5</w:t>
            </w:r>
          </w:p>
        </w:tc>
        <w:tc>
          <w:tcPr>
            <w:tcW w:w="901" w:type="dxa"/>
            <w:noWrap w:val="0"/>
            <w:vAlign w:val="center"/>
          </w:tcPr>
          <w:p w14:paraId="4545E9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1320" w:type="dxa"/>
            <w:noWrap w:val="0"/>
            <w:vAlign w:val="center"/>
          </w:tcPr>
          <w:p w14:paraId="7B3991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1753" w:type="dxa"/>
            <w:gridSpan w:val="2"/>
            <w:vMerge w:val="continue"/>
            <w:noWrap w:val="0"/>
            <w:vAlign w:val="center"/>
          </w:tcPr>
          <w:p w14:paraId="1E9247C8">
            <w:pPr>
              <w:snapToGrid w:val="0"/>
              <w:spacing w:line="360" w:lineRule="auto"/>
              <w:jc w:val="center"/>
              <w:rPr>
                <w:rFonts w:hint="eastAsia" w:ascii="宋体" w:hAnsi="宋体" w:eastAsia="宋体" w:cs="宋体"/>
                <w:color w:val="000000"/>
                <w:sz w:val="21"/>
                <w:szCs w:val="21"/>
              </w:rPr>
            </w:pPr>
          </w:p>
        </w:tc>
      </w:tr>
      <w:tr w14:paraId="620F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2713A456">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3A71F193">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416E632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结论</w:t>
            </w:r>
          </w:p>
        </w:tc>
        <w:tc>
          <w:tcPr>
            <w:tcW w:w="1981" w:type="dxa"/>
            <w:shd w:val="clear" w:color="auto" w:fill="auto"/>
            <w:noWrap w:val="0"/>
            <w:vAlign w:val="center"/>
          </w:tcPr>
          <w:p w14:paraId="29CAD6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901" w:type="dxa"/>
            <w:shd w:val="clear" w:color="auto" w:fill="auto"/>
            <w:noWrap w:val="0"/>
            <w:vAlign w:val="center"/>
          </w:tcPr>
          <w:p w14:paraId="7095AB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1320" w:type="dxa"/>
            <w:shd w:val="clear" w:color="auto" w:fill="auto"/>
            <w:noWrap w:val="0"/>
            <w:vAlign w:val="center"/>
          </w:tcPr>
          <w:p w14:paraId="032C63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23696471">
            <w:pPr>
              <w:snapToGrid w:val="0"/>
              <w:spacing w:line="360" w:lineRule="auto"/>
              <w:jc w:val="center"/>
              <w:rPr>
                <w:rFonts w:hint="eastAsia" w:ascii="宋体" w:hAnsi="宋体" w:eastAsia="宋体" w:cs="宋体"/>
                <w:color w:val="000000"/>
                <w:sz w:val="21"/>
                <w:szCs w:val="21"/>
              </w:rPr>
            </w:pPr>
          </w:p>
        </w:tc>
      </w:tr>
      <w:tr w14:paraId="601A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5C87AB69">
            <w:pPr>
              <w:snapToGrid w:val="0"/>
              <w:spacing w:line="360" w:lineRule="auto"/>
              <w:jc w:val="left"/>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甲、乙类物品生产厂房、 库房和甲、乙类液体储罐</w:t>
            </w:r>
          </w:p>
        </w:tc>
        <w:tc>
          <w:tcPr>
            <w:tcW w:w="721" w:type="dxa"/>
            <w:noWrap w:val="0"/>
            <w:vAlign w:val="center"/>
          </w:tcPr>
          <w:p w14:paraId="640AF4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2B20E1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15.5</w:t>
            </w:r>
          </w:p>
        </w:tc>
        <w:tc>
          <w:tcPr>
            <w:tcW w:w="901" w:type="dxa"/>
            <w:noWrap w:val="0"/>
            <w:vAlign w:val="center"/>
          </w:tcPr>
          <w:p w14:paraId="1EC5A6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12.5</w:t>
            </w:r>
          </w:p>
        </w:tc>
        <w:tc>
          <w:tcPr>
            <w:tcW w:w="1320" w:type="dxa"/>
            <w:noWrap w:val="0"/>
            <w:vAlign w:val="center"/>
          </w:tcPr>
          <w:p w14:paraId="21825B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12.5</w:t>
            </w:r>
          </w:p>
        </w:tc>
        <w:tc>
          <w:tcPr>
            <w:tcW w:w="1745" w:type="dxa"/>
            <w:vMerge w:val="restart"/>
            <w:noWrap w:val="0"/>
            <w:vAlign w:val="center"/>
          </w:tcPr>
          <w:p w14:paraId="0D9DA80D">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2C52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F5596B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E67A7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3105D4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3B77A3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0132EE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12929E2A">
            <w:pPr>
              <w:snapToGrid w:val="0"/>
              <w:spacing w:line="360" w:lineRule="auto"/>
              <w:jc w:val="center"/>
              <w:rPr>
                <w:rFonts w:hint="eastAsia" w:ascii="宋体" w:hAnsi="宋体" w:eastAsia="宋体" w:cs="宋体"/>
                <w:color w:val="000000"/>
                <w:sz w:val="21"/>
                <w:szCs w:val="21"/>
              </w:rPr>
            </w:pPr>
          </w:p>
        </w:tc>
      </w:tr>
      <w:tr w14:paraId="2A18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06D3FB5">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65F4B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3E911A2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03322AE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7A869C7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02C9A0C3">
            <w:pPr>
              <w:snapToGrid w:val="0"/>
              <w:spacing w:line="360" w:lineRule="auto"/>
              <w:jc w:val="center"/>
              <w:rPr>
                <w:rFonts w:hint="eastAsia" w:ascii="宋体" w:hAnsi="宋体" w:eastAsia="宋体" w:cs="宋体"/>
                <w:color w:val="000000"/>
                <w:sz w:val="21"/>
                <w:szCs w:val="21"/>
              </w:rPr>
            </w:pPr>
          </w:p>
        </w:tc>
      </w:tr>
      <w:tr w14:paraId="791F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700804FA">
            <w:pPr>
              <w:snapToGrid w:val="0"/>
              <w:spacing w:line="360" w:lineRule="auto"/>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丙、丁、戊类物品生产厂房库房和丙类液体储罐以及单罐容积不大于50m</w:t>
            </w:r>
            <w:r>
              <w:rPr>
                <w:rFonts w:hint="eastAsia" w:ascii="宋体" w:hAnsi="宋体" w:eastAsia="宋体" w:cs="宋体"/>
                <w:b/>
                <w:bCs/>
                <w:color w:val="000000"/>
                <w:spacing w:val="-6"/>
                <w:sz w:val="21"/>
                <w:szCs w:val="21"/>
                <w:vertAlign w:val="superscript"/>
              </w:rPr>
              <w:t>3</w:t>
            </w:r>
            <w:r>
              <w:rPr>
                <w:rFonts w:hint="eastAsia" w:ascii="宋体" w:hAnsi="宋体" w:eastAsia="宋体" w:cs="宋体"/>
                <w:b/>
                <w:bCs/>
                <w:color w:val="000000"/>
                <w:spacing w:val="-6"/>
                <w:sz w:val="21"/>
                <w:szCs w:val="21"/>
              </w:rPr>
              <w:t>的埋地甲、乙类液体储罐</w:t>
            </w:r>
          </w:p>
        </w:tc>
        <w:tc>
          <w:tcPr>
            <w:tcW w:w="721" w:type="dxa"/>
            <w:noWrap w:val="0"/>
            <w:vAlign w:val="center"/>
          </w:tcPr>
          <w:p w14:paraId="25675E3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55D4AB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5.5</w:t>
            </w:r>
          </w:p>
        </w:tc>
        <w:tc>
          <w:tcPr>
            <w:tcW w:w="901" w:type="dxa"/>
            <w:noWrap w:val="0"/>
            <w:vAlign w:val="center"/>
          </w:tcPr>
          <w:p w14:paraId="17E435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.5</w:t>
            </w:r>
          </w:p>
        </w:tc>
        <w:tc>
          <w:tcPr>
            <w:tcW w:w="1320" w:type="dxa"/>
            <w:noWrap w:val="0"/>
            <w:vAlign w:val="center"/>
          </w:tcPr>
          <w:p w14:paraId="243DAF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.5</w:t>
            </w:r>
          </w:p>
        </w:tc>
        <w:tc>
          <w:tcPr>
            <w:tcW w:w="1745" w:type="dxa"/>
            <w:vMerge w:val="restart"/>
            <w:noWrap w:val="0"/>
            <w:vAlign w:val="center"/>
          </w:tcPr>
          <w:p w14:paraId="64E410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东南角室外变压器</w:t>
            </w:r>
          </w:p>
        </w:tc>
      </w:tr>
      <w:tr w14:paraId="4E0B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38B5FFE">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54DF7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259F23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43</w:t>
            </w:r>
          </w:p>
        </w:tc>
        <w:tc>
          <w:tcPr>
            <w:tcW w:w="901" w:type="dxa"/>
            <w:noWrap w:val="0"/>
            <w:vAlign w:val="center"/>
          </w:tcPr>
          <w:p w14:paraId="67939B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58</w:t>
            </w:r>
          </w:p>
        </w:tc>
        <w:tc>
          <w:tcPr>
            <w:tcW w:w="1320" w:type="dxa"/>
            <w:noWrap w:val="0"/>
            <w:vAlign w:val="center"/>
          </w:tcPr>
          <w:p w14:paraId="737D4C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58.5</w:t>
            </w:r>
          </w:p>
        </w:tc>
        <w:tc>
          <w:tcPr>
            <w:tcW w:w="1745" w:type="dxa"/>
            <w:vMerge w:val="continue"/>
            <w:noWrap w:val="0"/>
            <w:vAlign w:val="center"/>
          </w:tcPr>
          <w:p w14:paraId="4D82BA16">
            <w:pPr>
              <w:snapToGrid w:val="0"/>
              <w:spacing w:line="360" w:lineRule="auto"/>
              <w:jc w:val="center"/>
              <w:rPr>
                <w:rFonts w:hint="eastAsia" w:ascii="宋体" w:hAnsi="宋体" w:eastAsia="宋体" w:cs="宋体"/>
                <w:color w:val="000000"/>
                <w:sz w:val="21"/>
                <w:szCs w:val="21"/>
              </w:rPr>
            </w:pPr>
          </w:p>
        </w:tc>
      </w:tr>
      <w:tr w14:paraId="7193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0CEBF6EE">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CBA91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2FE732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20348A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3A7596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5099BB46">
            <w:pPr>
              <w:snapToGrid w:val="0"/>
              <w:spacing w:line="360" w:lineRule="auto"/>
              <w:jc w:val="center"/>
              <w:rPr>
                <w:rFonts w:hint="eastAsia" w:ascii="宋体" w:hAnsi="宋体" w:eastAsia="宋体" w:cs="宋体"/>
                <w:color w:val="000000"/>
                <w:sz w:val="21"/>
                <w:szCs w:val="21"/>
              </w:rPr>
            </w:pPr>
          </w:p>
        </w:tc>
      </w:tr>
      <w:tr w14:paraId="1020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78FB9113">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室外变配电站</w:t>
            </w:r>
          </w:p>
        </w:tc>
        <w:tc>
          <w:tcPr>
            <w:tcW w:w="721" w:type="dxa"/>
            <w:noWrap w:val="0"/>
            <w:vAlign w:val="center"/>
          </w:tcPr>
          <w:p w14:paraId="18CC39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607348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rPr>
              <w:t>.5</w:t>
            </w:r>
          </w:p>
        </w:tc>
        <w:tc>
          <w:tcPr>
            <w:tcW w:w="901" w:type="dxa"/>
            <w:noWrap w:val="0"/>
            <w:vAlign w:val="center"/>
          </w:tcPr>
          <w:p w14:paraId="1AD689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12.5</w:t>
            </w:r>
          </w:p>
        </w:tc>
        <w:tc>
          <w:tcPr>
            <w:tcW w:w="1320" w:type="dxa"/>
            <w:noWrap w:val="0"/>
            <w:vAlign w:val="center"/>
          </w:tcPr>
          <w:p w14:paraId="14A309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12.5</w:t>
            </w:r>
          </w:p>
        </w:tc>
        <w:tc>
          <w:tcPr>
            <w:tcW w:w="1745" w:type="dxa"/>
            <w:vMerge w:val="restart"/>
            <w:noWrap w:val="0"/>
            <w:vAlign w:val="center"/>
          </w:tcPr>
          <w:p w14:paraId="544FE538">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7B5D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1F455DB0">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614C6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shd w:val="clear" w:color="auto" w:fill="auto"/>
            <w:noWrap w:val="0"/>
            <w:vAlign w:val="center"/>
          </w:tcPr>
          <w:p w14:paraId="430EA1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901" w:type="dxa"/>
            <w:shd w:val="clear" w:color="auto" w:fill="auto"/>
            <w:noWrap w:val="0"/>
            <w:vAlign w:val="center"/>
          </w:tcPr>
          <w:p w14:paraId="1943FB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1320" w:type="dxa"/>
            <w:shd w:val="clear" w:color="auto" w:fill="auto"/>
            <w:noWrap w:val="0"/>
            <w:vAlign w:val="center"/>
          </w:tcPr>
          <w:p w14:paraId="7C3FB2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1745" w:type="dxa"/>
            <w:vMerge w:val="continue"/>
            <w:noWrap w:val="0"/>
            <w:vAlign w:val="center"/>
          </w:tcPr>
          <w:p w14:paraId="75AE9CC0">
            <w:pPr>
              <w:snapToGrid w:val="0"/>
              <w:spacing w:line="360" w:lineRule="auto"/>
              <w:jc w:val="center"/>
              <w:rPr>
                <w:rFonts w:hint="eastAsia" w:ascii="宋体" w:hAnsi="宋体" w:eastAsia="宋体" w:cs="宋体"/>
                <w:color w:val="000000"/>
                <w:sz w:val="21"/>
                <w:szCs w:val="21"/>
              </w:rPr>
            </w:pPr>
          </w:p>
        </w:tc>
      </w:tr>
      <w:tr w14:paraId="1A31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232D4EA6">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76F30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705604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不涉及</w:t>
            </w:r>
          </w:p>
        </w:tc>
        <w:tc>
          <w:tcPr>
            <w:tcW w:w="901" w:type="dxa"/>
            <w:noWrap w:val="0"/>
            <w:vAlign w:val="center"/>
          </w:tcPr>
          <w:p w14:paraId="267CC8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7E8815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77DBB5A7">
            <w:pPr>
              <w:snapToGrid w:val="0"/>
              <w:spacing w:line="360" w:lineRule="auto"/>
              <w:jc w:val="center"/>
              <w:rPr>
                <w:rFonts w:hint="eastAsia" w:ascii="宋体" w:hAnsi="宋体" w:eastAsia="宋体" w:cs="宋体"/>
                <w:color w:val="000000"/>
                <w:sz w:val="21"/>
                <w:szCs w:val="21"/>
              </w:rPr>
            </w:pPr>
          </w:p>
        </w:tc>
      </w:tr>
      <w:tr w14:paraId="2233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545F5918">
            <w:pPr>
              <w:snapToGrid w:val="0"/>
              <w:spacing w:line="360" w:lineRule="auto"/>
              <w:jc w:val="center"/>
              <w:rPr>
                <w:rFonts w:hint="eastAsia" w:ascii="宋体" w:hAnsi="宋体" w:eastAsia="宋体" w:cs="宋体"/>
                <w:b/>
                <w:bCs/>
                <w:color w:val="000000"/>
                <w:spacing w:val="20"/>
                <w:sz w:val="21"/>
                <w:szCs w:val="21"/>
              </w:rPr>
            </w:pPr>
            <w:r>
              <w:rPr>
                <w:rFonts w:hint="eastAsia" w:ascii="宋体" w:hAnsi="宋体" w:eastAsia="宋体" w:cs="宋体"/>
                <w:b/>
                <w:bCs/>
                <w:color w:val="000000"/>
                <w:spacing w:val="20"/>
                <w:sz w:val="21"/>
                <w:szCs w:val="21"/>
              </w:rPr>
              <w:t>铁路、地上城市轨道线路</w:t>
            </w:r>
          </w:p>
        </w:tc>
        <w:tc>
          <w:tcPr>
            <w:tcW w:w="721" w:type="dxa"/>
            <w:noWrap w:val="0"/>
            <w:vAlign w:val="center"/>
          </w:tcPr>
          <w:p w14:paraId="4969AD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20"/>
                <w:sz w:val="21"/>
                <w:szCs w:val="21"/>
              </w:rPr>
            </w:pPr>
            <w:r>
              <w:rPr>
                <w:rFonts w:hint="eastAsia" w:ascii="宋体" w:hAnsi="宋体" w:eastAsia="宋体" w:cs="宋体"/>
                <w:color w:val="000000"/>
                <w:sz w:val="21"/>
                <w:szCs w:val="21"/>
              </w:rPr>
              <w:t>规范</w:t>
            </w:r>
          </w:p>
        </w:tc>
        <w:tc>
          <w:tcPr>
            <w:tcW w:w="1981" w:type="dxa"/>
            <w:noWrap w:val="0"/>
            <w:vAlign w:val="center"/>
          </w:tcPr>
          <w:p w14:paraId="4DAEEE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15.5</w:t>
            </w:r>
          </w:p>
        </w:tc>
        <w:tc>
          <w:tcPr>
            <w:tcW w:w="901" w:type="dxa"/>
            <w:noWrap w:val="0"/>
            <w:vAlign w:val="center"/>
          </w:tcPr>
          <w:p w14:paraId="7CEA9E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15.5</w:t>
            </w:r>
          </w:p>
        </w:tc>
        <w:tc>
          <w:tcPr>
            <w:tcW w:w="1320" w:type="dxa"/>
            <w:noWrap w:val="0"/>
            <w:vAlign w:val="center"/>
          </w:tcPr>
          <w:p w14:paraId="7C287E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15.5</w:t>
            </w:r>
          </w:p>
        </w:tc>
        <w:tc>
          <w:tcPr>
            <w:tcW w:w="1745" w:type="dxa"/>
            <w:vMerge w:val="restart"/>
            <w:noWrap w:val="0"/>
            <w:vAlign w:val="center"/>
          </w:tcPr>
          <w:p w14:paraId="735EC24B">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无铁路</w:t>
            </w:r>
          </w:p>
        </w:tc>
      </w:tr>
      <w:tr w14:paraId="2146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1543688A">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8D6D0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634E003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137A03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236CE1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00A61B04">
            <w:pPr>
              <w:snapToGrid w:val="0"/>
              <w:spacing w:line="360" w:lineRule="auto"/>
              <w:jc w:val="center"/>
              <w:rPr>
                <w:rFonts w:hint="eastAsia" w:ascii="宋体" w:hAnsi="宋体" w:eastAsia="宋体" w:cs="宋体"/>
                <w:color w:val="000000"/>
                <w:sz w:val="21"/>
                <w:szCs w:val="21"/>
              </w:rPr>
            </w:pPr>
          </w:p>
        </w:tc>
      </w:tr>
      <w:tr w14:paraId="441B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4D5A8E9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6DEE1D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0DDF3F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56B0D5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2EE702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53933C3E">
            <w:pPr>
              <w:snapToGrid w:val="0"/>
              <w:spacing w:line="360" w:lineRule="auto"/>
              <w:jc w:val="center"/>
              <w:rPr>
                <w:rFonts w:hint="eastAsia" w:ascii="宋体" w:hAnsi="宋体" w:eastAsia="宋体" w:cs="宋体"/>
                <w:color w:val="000000"/>
                <w:sz w:val="21"/>
                <w:szCs w:val="21"/>
              </w:rPr>
            </w:pPr>
          </w:p>
        </w:tc>
      </w:tr>
      <w:tr w14:paraId="0697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1AC8877A">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城市快速路、主干路和高速公路、一级公路、二级公路</w:t>
            </w:r>
          </w:p>
        </w:tc>
        <w:tc>
          <w:tcPr>
            <w:tcW w:w="721" w:type="dxa"/>
            <w:noWrap w:val="0"/>
            <w:vAlign w:val="center"/>
          </w:tcPr>
          <w:p w14:paraId="093073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DD7CA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5.5</w:t>
            </w:r>
          </w:p>
        </w:tc>
        <w:tc>
          <w:tcPr>
            <w:tcW w:w="901" w:type="dxa"/>
            <w:noWrap w:val="0"/>
            <w:vAlign w:val="center"/>
          </w:tcPr>
          <w:p w14:paraId="7EED12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320" w:type="dxa"/>
            <w:noWrap w:val="0"/>
            <w:vAlign w:val="center"/>
          </w:tcPr>
          <w:p w14:paraId="689537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745" w:type="dxa"/>
            <w:vMerge w:val="restart"/>
            <w:noWrap w:val="0"/>
            <w:vAlign w:val="center"/>
          </w:tcPr>
          <w:p w14:paraId="588565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西面剑兰公路</w:t>
            </w:r>
          </w:p>
        </w:tc>
      </w:tr>
      <w:tr w14:paraId="3C48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468B5AC">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6F7931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60760D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44.4</w:t>
            </w:r>
          </w:p>
        </w:tc>
        <w:tc>
          <w:tcPr>
            <w:tcW w:w="901" w:type="dxa"/>
            <w:noWrap w:val="0"/>
            <w:vAlign w:val="center"/>
          </w:tcPr>
          <w:p w14:paraId="4B96EF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11.8</w:t>
            </w:r>
          </w:p>
        </w:tc>
        <w:tc>
          <w:tcPr>
            <w:tcW w:w="1320" w:type="dxa"/>
            <w:noWrap w:val="0"/>
            <w:vAlign w:val="center"/>
          </w:tcPr>
          <w:p w14:paraId="5C6E31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23.8</w:t>
            </w:r>
          </w:p>
        </w:tc>
        <w:tc>
          <w:tcPr>
            <w:tcW w:w="1745" w:type="dxa"/>
            <w:vMerge w:val="continue"/>
            <w:noWrap w:val="0"/>
            <w:vAlign w:val="center"/>
          </w:tcPr>
          <w:p w14:paraId="7429B5B0">
            <w:pPr>
              <w:snapToGrid w:val="0"/>
              <w:spacing w:line="360" w:lineRule="auto"/>
              <w:jc w:val="center"/>
              <w:rPr>
                <w:rFonts w:hint="eastAsia" w:ascii="宋体" w:hAnsi="宋体" w:eastAsia="宋体" w:cs="宋体"/>
                <w:color w:val="000000"/>
                <w:sz w:val="21"/>
                <w:szCs w:val="21"/>
              </w:rPr>
            </w:pPr>
          </w:p>
        </w:tc>
      </w:tr>
      <w:tr w14:paraId="742C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B9EA021">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97BCC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50F040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2301E0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6B573FC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07A5A947">
            <w:pPr>
              <w:snapToGrid w:val="0"/>
              <w:spacing w:line="360" w:lineRule="auto"/>
              <w:jc w:val="center"/>
              <w:rPr>
                <w:rFonts w:hint="eastAsia" w:ascii="宋体" w:hAnsi="宋体" w:eastAsia="宋体" w:cs="宋体"/>
                <w:color w:val="000000"/>
                <w:sz w:val="21"/>
                <w:szCs w:val="21"/>
              </w:rPr>
            </w:pPr>
          </w:p>
        </w:tc>
      </w:tr>
      <w:tr w14:paraId="540C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20E52CD1">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城市次干路、支路和三级公路、四级公路</w:t>
            </w:r>
          </w:p>
        </w:tc>
        <w:tc>
          <w:tcPr>
            <w:tcW w:w="721" w:type="dxa"/>
            <w:noWrap w:val="0"/>
            <w:vAlign w:val="center"/>
          </w:tcPr>
          <w:p w14:paraId="611002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05A49A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w:t>
            </w:r>
          </w:p>
        </w:tc>
        <w:tc>
          <w:tcPr>
            <w:tcW w:w="901" w:type="dxa"/>
            <w:noWrap w:val="0"/>
            <w:vAlign w:val="center"/>
          </w:tcPr>
          <w:p w14:paraId="7FA99C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w:t>
            </w:r>
          </w:p>
        </w:tc>
        <w:tc>
          <w:tcPr>
            <w:tcW w:w="1320" w:type="dxa"/>
            <w:noWrap w:val="0"/>
            <w:vAlign w:val="center"/>
          </w:tcPr>
          <w:p w14:paraId="315341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5</w:t>
            </w:r>
          </w:p>
        </w:tc>
        <w:tc>
          <w:tcPr>
            <w:tcW w:w="1745" w:type="dxa"/>
            <w:vMerge w:val="restart"/>
            <w:noWrap w:val="0"/>
            <w:vAlign w:val="center"/>
          </w:tcPr>
          <w:p w14:paraId="4D9953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南面村道</w:t>
            </w:r>
          </w:p>
        </w:tc>
      </w:tr>
      <w:tr w14:paraId="6882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2E8086D">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9FDA2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6AA281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33</w:t>
            </w:r>
          </w:p>
        </w:tc>
        <w:tc>
          <w:tcPr>
            <w:tcW w:w="901" w:type="dxa"/>
            <w:noWrap w:val="0"/>
            <w:vAlign w:val="center"/>
          </w:tcPr>
          <w:p w14:paraId="530887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14</w:t>
            </w:r>
          </w:p>
        </w:tc>
        <w:tc>
          <w:tcPr>
            <w:tcW w:w="1320" w:type="dxa"/>
            <w:noWrap w:val="0"/>
            <w:vAlign w:val="center"/>
          </w:tcPr>
          <w:p w14:paraId="43D92D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w:t>
            </w:r>
          </w:p>
        </w:tc>
        <w:tc>
          <w:tcPr>
            <w:tcW w:w="1745" w:type="dxa"/>
            <w:vMerge w:val="continue"/>
            <w:noWrap w:val="0"/>
            <w:vAlign w:val="center"/>
          </w:tcPr>
          <w:p w14:paraId="7001F33E">
            <w:pPr>
              <w:snapToGrid w:val="0"/>
              <w:spacing w:line="360" w:lineRule="auto"/>
              <w:jc w:val="center"/>
              <w:rPr>
                <w:rFonts w:hint="eastAsia" w:ascii="宋体" w:hAnsi="宋体" w:eastAsia="宋体" w:cs="宋体"/>
                <w:color w:val="000000"/>
                <w:sz w:val="21"/>
                <w:szCs w:val="21"/>
              </w:rPr>
            </w:pPr>
          </w:p>
        </w:tc>
      </w:tr>
      <w:tr w14:paraId="2F03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1ACD8CA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66B96B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062FF23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08EA9E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40D766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2DA7DA50">
            <w:pPr>
              <w:snapToGrid w:val="0"/>
              <w:spacing w:line="360" w:lineRule="auto"/>
              <w:jc w:val="center"/>
              <w:rPr>
                <w:rFonts w:hint="eastAsia" w:ascii="宋体" w:hAnsi="宋体" w:eastAsia="宋体" w:cs="宋体"/>
                <w:color w:val="000000"/>
                <w:sz w:val="21"/>
                <w:szCs w:val="21"/>
              </w:rPr>
            </w:pPr>
          </w:p>
        </w:tc>
      </w:tr>
      <w:tr w14:paraId="76FE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4E6AD394">
            <w:pPr>
              <w:snapToGrid w:val="0"/>
              <w:spacing w:line="360" w:lineRule="auto"/>
              <w:jc w:val="center"/>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架空通信线</w:t>
            </w:r>
          </w:p>
        </w:tc>
        <w:tc>
          <w:tcPr>
            <w:tcW w:w="721" w:type="dxa"/>
            <w:noWrap w:val="0"/>
            <w:vAlign w:val="center"/>
          </w:tcPr>
          <w:p w14:paraId="129D58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4F3BA1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901" w:type="dxa"/>
            <w:noWrap w:val="0"/>
            <w:vAlign w:val="center"/>
          </w:tcPr>
          <w:p w14:paraId="4FEF12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5</w:t>
            </w:r>
          </w:p>
        </w:tc>
        <w:tc>
          <w:tcPr>
            <w:tcW w:w="1320" w:type="dxa"/>
            <w:noWrap w:val="0"/>
            <w:vAlign w:val="center"/>
          </w:tcPr>
          <w:p w14:paraId="20948E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5</w:t>
            </w:r>
          </w:p>
        </w:tc>
        <w:tc>
          <w:tcPr>
            <w:tcW w:w="1745" w:type="dxa"/>
            <w:vMerge w:val="restart"/>
            <w:noWrap w:val="0"/>
            <w:vAlign w:val="center"/>
          </w:tcPr>
          <w:p w14:paraId="2AC5C977">
            <w:pPr>
              <w:snapToGrid w:val="0"/>
              <w:spacing w:line="360" w:lineRule="auto"/>
              <w:jc w:val="center"/>
              <w:rPr>
                <w:rFonts w:hint="eastAsia" w:ascii="宋体" w:hAnsi="宋体" w:eastAsia="宋体" w:cs="宋体"/>
                <w:color w:val="000000"/>
                <w:spacing w:val="10"/>
                <w:sz w:val="21"/>
                <w:szCs w:val="21"/>
              </w:rPr>
            </w:pPr>
            <w:r>
              <w:rPr>
                <w:rFonts w:hint="eastAsia" w:ascii="宋体" w:hAnsi="宋体" w:eastAsia="宋体" w:cs="宋体"/>
                <w:color w:val="000000"/>
                <w:spacing w:val="-6"/>
                <w:sz w:val="21"/>
                <w:szCs w:val="21"/>
              </w:rPr>
              <w:t>无相关设施</w:t>
            </w:r>
          </w:p>
        </w:tc>
      </w:tr>
      <w:tr w14:paraId="73B1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A87DC0A">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B7E17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2C9147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44BD76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3C5A77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6456AEA8">
            <w:pPr>
              <w:snapToGrid w:val="0"/>
              <w:spacing w:line="360" w:lineRule="auto"/>
              <w:jc w:val="center"/>
              <w:rPr>
                <w:rFonts w:hint="eastAsia" w:ascii="宋体" w:hAnsi="宋体" w:eastAsia="宋体" w:cs="宋体"/>
                <w:color w:val="000000"/>
                <w:sz w:val="21"/>
                <w:szCs w:val="21"/>
              </w:rPr>
            </w:pPr>
          </w:p>
        </w:tc>
      </w:tr>
      <w:tr w14:paraId="014A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4B399A18">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C8CCA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59BFF8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0B1B52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159791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34087FBE">
            <w:pPr>
              <w:snapToGrid w:val="0"/>
              <w:spacing w:line="360" w:lineRule="auto"/>
              <w:jc w:val="center"/>
              <w:rPr>
                <w:rFonts w:hint="eastAsia" w:ascii="宋体" w:hAnsi="宋体" w:eastAsia="宋体" w:cs="宋体"/>
                <w:color w:val="000000"/>
                <w:sz w:val="21"/>
                <w:szCs w:val="21"/>
              </w:rPr>
            </w:pPr>
          </w:p>
        </w:tc>
      </w:tr>
      <w:tr w14:paraId="7B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restart"/>
            <w:noWrap w:val="0"/>
            <w:vAlign w:val="center"/>
          </w:tcPr>
          <w:p w14:paraId="59C72B76">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架空电力线路</w:t>
            </w:r>
          </w:p>
        </w:tc>
        <w:tc>
          <w:tcPr>
            <w:tcW w:w="1786" w:type="dxa"/>
            <w:vMerge w:val="restart"/>
            <w:noWrap w:val="0"/>
            <w:vAlign w:val="center"/>
          </w:tcPr>
          <w:p w14:paraId="1ABAE6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无绝缘层</w:t>
            </w:r>
          </w:p>
        </w:tc>
        <w:tc>
          <w:tcPr>
            <w:tcW w:w="721" w:type="dxa"/>
            <w:noWrap w:val="0"/>
            <w:vAlign w:val="center"/>
          </w:tcPr>
          <w:p w14:paraId="388B43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014C3A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6.5m</w:t>
            </w:r>
          </w:p>
        </w:tc>
        <w:tc>
          <w:tcPr>
            <w:tcW w:w="901" w:type="dxa"/>
            <w:noWrap w:val="0"/>
            <w:vAlign w:val="center"/>
          </w:tcPr>
          <w:p w14:paraId="6C4E6C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6.5</w:t>
            </w:r>
          </w:p>
        </w:tc>
        <w:tc>
          <w:tcPr>
            <w:tcW w:w="1320" w:type="dxa"/>
            <w:noWrap w:val="0"/>
            <w:vAlign w:val="center"/>
          </w:tcPr>
          <w:p w14:paraId="634ECB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6.5</w:t>
            </w:r>
          </w:p>
        </w:tc>
        <w:tc>
          <w:tcPr>
            <w:tcW w:w="1745" w:type="dxa"/>
            <w:vMerge w:val="restart"/>
            <w:noWrap w:val="0"/>
            <w:vAlign w:val="center"/>
          </w:tcPr>
          <w:p w14:paraId="1B6E28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pacing w:val="-6"/>
                <w:sz w:val="21"/>
                <w:szCs w:val="21"/>
              </w:rPr>
              <w:t>无相关设施</w:t>
            </w:r>
          </w:p>
        </w:tc>
      </w:tr>
      <w:tr w14:paraId="6C89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566BDAF2">
            <w:pPr>
              <w:snapToGrid w:val="0"/>
              <w:spacing w:line="360" w:lineRule="auto"/>
              <w:jc w:val="center"/>
              <w:rPr>
                <w:rFonts w:hint="eastAsia" w:ascii="宋体" w:hAnsi="宋体" w:eastAsia="宋体" w:cs="宋体"/>
                <w:b/>
                <w:bCs/>
                <w:color w:val="000000"/>
                <w:sz w:val="21"/>
                <w:szCs w:val="21"/>
              </w:rPr>
            </w:pPr>
          </w:p>
        </w:tc>
        <w:tc>
          <w:tcPr>
            <w:tcW w:w="1786" w:type="dxa"/>
            <w:vMerge w:val="continue"/>
            <w:noWrap w:val="0"/>
            <w:vAlign w:val="center"/>
          </w:tcPr>
          <w:p w14:paraId="53F3FD90">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eastAsia" w:ascii="宋体" w:hAnsi="宋体" w:eastAsia="宋体" w:cs="宋体"/>
                <w:b/>
                <w:bCs/>
                <w:color w:val="000000"/>
                <w:sz w:val="21"/>
                <w:szCs w:val="21"/>
              </w:rPr>
            </w:pPr>
          </w:p>
        </w:tc>
        <w:tc>
          <w:tcPr>
            <w:tcW w:w="721" w:type="dxa"/>
            <w:noWrap w:val="0"/>
            <w:vAlign w:val="center"/>
          </w:tcPr>
          <w:p w14:paraId="0A0B2C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rPr>
              <w:t>实测</w:t>
            </w:r>
          </w:p>
        </w:tc>
        <w:tc>
          <w:tcPr>
            <w:tcW w:w="1981" w:type="dxa"/>
            <w:noWrap w:val="0"/>
            <w:vAlign w:val="center"/>
          </w:tcPr>
          <w:p w14:paraId="37C065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901" w:type="dxa"/>
            <w:noWrap w:val="0"/>
            <w:vAlign w:val="center"/>
          </w:tcPr>
          <w:p w14:paraId="1C66A8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1320" w:type="dxa"/>
            <w:noWrap w:val="0"/>
            <w:vAlign w:val="center"/>
          </w:tcPr>
          <w:p w14:paraId="16846C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1745" w:type="dxa"/>
            <w:vMerge w:val="continue"/>
            <w:noWrap w:val="0"/>
            <w:vAlign w:val="center"/>
          </w:tcPr>
          <w:p w14:paraId="0802AA2E">
            <w:pPr>
              <w:snapToGrid w:val="0"/>
              <w:spacing w:line="360" w:lineRule="auto"/>
              <w:rPr>
                <w:rFonts w:hint="eastAsia" w:ascii="宋体" w:hAnsi="宋体" w:eastAsia="宋体" w:cs="宋体"/>
                <w:sz w:val="21"/>
                <w:szCs w:val="21"/>
              </w:rPr>
            </w:pPr>
          </w:p>
        </w:tc>
      </w:tr>
      <w:tr w14:paraId="006D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75F2F3A4">
            <w:pPr>
              <w:snapToGrid w:val="0"/>
              <w:spacing w:line="360" w:lineRule="auto"/>
              <w:jc w:val="center"/>
              <w:rPr>
                <w:rFonts w:hint="eastAsia" w:ascii="宋体" w:hAnsi="宋体" w:eastAsia="宋体" w:cs="宋体"/>
                <w:b/>
                <w:bCs/>
                <w:color w:val="000000"/>
                <w:sz w:val="21"/>
                <w:szCs w:val="21"/>
              </w:rPr>
            </w:pPr>
          </w:p>
        </w:tc>
        <w:tc>
          <w:tcPr>
            <w:tcW w:w="1786" w:type="dxa"/>
            <w:vMerge w:val="continue"/>
            <w:noWrap w:val="0"/>
            <w:vAlign w:val="center"/>
          </w:tcPr>
          <w:p w14:paraId="1BC4A8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p>
        </w:tc>
        <w:tc>
          <w:tcPr>
            <w:tcW w:w="721" w:type="dxa"/>
            <w:noWrap w:val="0"/>
            <w:vAlign w:val="center"/>
          </w:tcPr>
          <w:p w14:paraId="4B49091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5BF777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469E2C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37037C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2AEADDE1">
            <w:pPr>
              <w:snapToGrid w:val="0"/>
              <w:spacing w:line="360" w:lineRule="auto"/>
              <w:jc w:val="center"/>
              <w:rPr>
                <w:rFonts w:hint="eastAsia" w:ascii="宋体" w:hAnsi="宋体" w:eastAsia="宋体" w:cs="宋体"/>
                <w:color w:val="000000"/>
                <w:sz w:val="21"/>
                <w:szCs w:val="21"/>
              </w:rPr>
            </w:pPr>
          </w:p>
        </w:tc>
      </w:tr>
      <w:tr w14:paraId="20E7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1016E494">
            <w:pPr>
              <w:snapToGrid w:val="0"/>
              <w:spacing w:line="360" w:lineRule="auto"/>
              <w:jc w:val="center"/>
              <w:rPr>
                <w:rFonts w:hint="eastAsia" w:ascii="宋体" w:hAnsi="宋体" w:eastAsia="宋体" w:cs="宋体"/>
                <w:b/>
                <w:bCs/>
                <w:color w:val="000000"/>
                <w:sz w:val="21"/>
                <w:szCs w:val="21"/>
              </w:rPr>
            </w:pPr>
          </w:p>
        </w:tc>
        <w:tc>
          <w:tcPr>
            <w:tcW w:w="1786" w:type="dxa"/>
            <w:vMerge w:val="restart"/>
            <w:noWrap w:val="0"/>
            <w:vAlign w:val="center"/>
          </w:tcPr>
          <w:p w14:paraId="254662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0C65CB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BCDC6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 xml:space="preserve">0.75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1E5328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0A6A9E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7DBC77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北面</w:t>
            </w:r>
            <w:r>
              <w:rPr>
                <w:rFonts w:hint="eastAsia" w:ascii="宋体" w:hAnsi="宋体" w:eastAsia="宋体" w:cs="宋体"/>
                <w:color w:val="000000"/>
                <w:spacing w:val="-6"/>
                <w:sz w:val="21"/>
                <w:szCs w:val="21"/>
              </w:rPr>
              <w:t>架空电力线（杆高 11m）</w:t>
            </w:r>
          </w:p>
        </w:tc>
      </w:tr>
      <w:tr w14:paraId="1520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3974D9C1">
            <w:pPr>
              <w:snapToGrid w:val="0"/>
              <w:spacing w:line="360" w:lineRule="auto"/>
              <w:jc w:val="center"/>
              <w:rPr>
                <w:rFonts w:hint="eastAsia" w:ascii="宋体" w:hAnsi="宋体" w:eastAsia="宋体" w:cs="宋体"/>
                <w:color w:val="000000"/>
                <w:sz w:val="21"/>
                <w:szCs w:val="21"/>
              </w:rPr>
            </w:pPr>
          </w:p>
        </w:tc>
        <w:tc>
          <w:tcPr>
            <w:tcW w:w="1786" w:type="dxa"/>
            <w:vMerge w:val="continue"/>
            <w:noWrap w:val="0"/>
            <w:vAlign w:val="center"/>
          </w:tcPr>
          <w:p w14:paraId="6AF2E9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6D8A41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05595C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w:t>
            </w:r>
          </w:p>
        </w:tc>
        <w:tc>
          <w:tcPr>
            <w:tcW w:w="901" w:type="dxa"/>
            <w:noWrap w:val="0"/>
            <w:vAlign w:val="center"/>
          </w:tcPr>
          <w:p w14:paraId="7892EC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31.5</w:t>
            </w:r>
          </w:p>
        </w:tc>
        <w:tc>
          <w:tcPr>
            <w:tcW w:w="1320" w:type="dxa"/>
            <w:noWrap w:val="0"/>
            <w:vAlign w:val="center"/>
          </w:tcPr>
          <w:p w14:paraId="4E7A21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31.3</w:t>
            </w:r>
          </w:p>
        </w:tc>
        <w:tc>
          <w:tcPr>
            <w:tcW w:w="1745" w:type="dxa"/>
            <w:vMerge w:val="continue"/>
            <w:noWrap w:val="0"/>
            <w:vAlign w:val="center"/>
          </w:tcPr>
          <w:p w14:paraId="1F72B76A">
            <w:pPr>
              <w:snapToGrid w:val="0"/>
              <w:spacing w:line="360" w:lineRule="auto"/>
              <w:jc w:val="center"/>
              <w:rPr>
                <w:rFonts w:hint="eastAsia" w:ascii="宋体" w:hAnsi="宋体" w:eastAsia="宋体" w:cs="宋体"/>
                <w:color w:val="000000"/>
                <w:sz w:val="21"/>
                <w:szCs w:val="21"/>
              </w:rPr>
            </w:pPr>
          </w:p>
        </w:tc>
      </w:tr>
      <w:tr w14:paraId="5FC2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7C2EBCA3">
            <w:pPr>
              <w:snapToGrid w:val="0"/>
              <w:spacing w:line="360" w:lineRule="auto"/>
              <w:jc w:val="center"/>
              <w:rPr>
                <w:rFonts w:hint="eastAsia" w:ascii="宋体" w:hAnsi="宋体" w:eastAsia="宋体" w:cs="宋体"/>
                <w:color w:val="000000"/>
                <w:sz w:val="21"/>
                <w:szCs w:val="21"/>
              </w:rPr>
            </w:pPr>
          </w:p>
        </w:tc>
        <w:tc>
          <w:tcPr>
            <w:tcW w:w="1786" w:type="dxa"/>
            <w:vMerge w:val="continue"/>
            <w:noWrap w:val="0"/>
            <w:vAlign w:val="center"/>
          </w:tcPr>
          <w:p w14:paraId="1B3A2D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5CCFC7D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363A0F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271792F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4C01B1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479D3447">
            <w:pPr>
              <w:snapToGrid w:val="0"/>
              <w:spacing w:line="360" w:lineRule="auto"/>
              <w:jc w:val="center"/>
              <w:rPr>
                <w:rFonts w:hint="eastAsia" w:ascii="宋体" w:hAnsi="宋体" w:eastAsia="宋体" w:cs="宋体"/>
                <w:color w:val="000000"/>
                <w:sz w:val="21"/>
                <w:szCs w:val="21"/>
              </w:rPr>
            </w:pPr>
          </w:p>
        </w:tc>
      </w:tr>
      <w:tr w14:paraId="1EE2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145F9227">
            <w:pPr>
              <w:snapToGrid w:val="0"/>
              <w:spacing w:line="360" w:lineRule="auto"/>
              <w:jc w:val="center"/>
              <w:rPr>
                <w:rFonts w:hint="eastAsia" w:ascii="宋体" w:hAnsi="宋体" w:eastAsia="宋体" w:cs="宋体"/>
                <w:color w:val="000000"/>
                <w:sz w:val="21"/>
                <w:szCs w:val="21"/>
              </w:rPr>
            </w:pPr>
          </w:p>
        </w:tc>
        <w:tc>
          <w:tcPr>
            <w:tcW w:w="1786" w:type="dxa"/>
            <w:vMerge w:val="restart"/>
            <w:noWrap w:val="0"/>
            <w:vAlign w:val="center"/>
          </w:tcPr>
          <w:p w14:paraId="200AF6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781F46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16DBDD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 xml:space="preserve">0.75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0D0B65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5D8CCE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25207E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西面</w:t>
            </w:r>
            <w:r>
              <w:rPr>
                <w:rFonts w:hint="eastAsia" w:ascii="宋体" w:hAnsi="宋体" w:eastAsia="宋体" w:cs="宋体"/>
                <w:color w:val="000000"/>
                <w:spacing w:val="-6"/>
                <w:sz w:val="21"/>
                <w:szCs w:val="21"/>
              </w:rPr>
              <w:t>架空电力线（杆高 11m）</w:t>
            </w:r>
          </w:p>
        </w:tc>
      </w:tr>
      <w:tr w14:paraId="7AB5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19E443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1786" w:type="dxa"/>
            <w:vMerge w:val="continue"/>
            <w:noWrap w:val="0"/>
            <w:vAlign w:val="center"/>
          </w:tcPr>
          <w:p w14:paraId="214397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721" w:type="dxa"/>
            <w:noWrap w:val="0"/>
            <w:vAlign w:val="center"/>
          </w:tcPr>
          <w:p w14:paraId="7F6C4E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72A635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44.4</w:t>
            </w:r>
          </w:p>
        </w:tc>
        <w:tc>
          <w:tcPr>
            <w:tcW w:w="901" w:type="dxa"/>
            <w:noWrap w:val="0"/>
            <w:vAlign w:val="center"/>
          </w:tcPr>
          <w:p w14:paraId="2DCBAA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11.8</w:t>
            </w:r>
          </w:p>
        </w:tc>
        <w:tc>
          <w:tcPr>
            <w:tcW w:w="1320" w:type="dxa"/>
            <w:noWrap w:val="0"/>
            <w:vAlign w:val="center"/>
          </w:tcPr>
          <w:p w14:paraId="510297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23.8</w:t>
            </w:r>
          </w:p>
        </w:tc>
        <w:tc>
          <w:tcPr>
            <w:tcW w:w="1745" w:type="dxa"/>
            <w:vMerge w:val="continue"/>
            <w:noWrap w:val="0"/>
            <w:vAlign w:val="center"/>
          </w:tcPr>
          <w:p w14:paraId="0AA939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0780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35ECB5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1786" w:type="dxa"/>
            <w:vMerge w:val="continue"/>
            <w:noWrap w:val="0"/>
            <w:vAlign w:val="center"/>
          </w:tcPr>
          <w:p w14:paraId="62BAE2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7A5CB8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shd w:val="clear" w:color="auto" w:fill="auto"/>
            <w:noWrap w:val="0"/>
            <w:vAlign w:val="center"/>
          </w:tcPr>
          <w:p w14:paraId="679A12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901" w:type="dxa"/>
            <w:shd w:val="clear" w:color="auto" w:fill="auto"/>
            <w:noWrap w:val="0"/>
            <w:vAlign w:val="center"/>
          </w:tcPr>
          <w:p w14:paraId="108E60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320" w:type="dxa"/>
            <w:shd w:val="clear" w:color="auto" w:fill="auto"/>
            <w:noWrap w:val="0"/>
            <w:vAlign w:val="center"/>
          </w:tcPr>
          <w:p w14:paraId="773332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745" w:type="dxa"/>
            <w:vMerge w:val="continue"/>
            <w:noWrap w:val="0"/>
            <w:vAlign w:val="center"/>
          </w:tcPr>
          <w:p w14:paraId="05DCB9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59EA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01003A14">
            <w:pPr>
              <w:snapToGrid w:val="0"/>
              <w:spacing w:line="360" w:lineRule="auto"/>
              <w:jc w:val="center"/>
              <w:rPr>
                <w:rFonts w:hint="eastAsia" w:ascii="宋体" w:hAnsi="宋体" w:eastAsia="宋体" w:cs="宋体"/>
                <w:color w:val="000000"/>
                <w:sz w:val="21"/>
                <w:szCs w:val="21"/>
              </w:rPr>
            </w:pPr>
          </w:p>
        </w:tc>
        <w:tc>
          <w:tcPr>
            <w:tcW w:w="1786" w:type="dxa"/>
            <w:vMerge w:val="restart"/>
            <w:noWrap w:val="0"/>
            <w:vAlign w:val="center"/>
          </w:tcPr>
          <w:p w14:paraId="03ADDB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3AE124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2610DB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 xml:space="preserve">0.75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7509BA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15B7BB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6860E7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南面</w:t>
            </w:r>
            <w:r>
              <w:rPr>
                <w:rFonts w:hint="eastAsia" w:ascii="宋体" w:hAnsi="宋体" w:eastAsia="宋体" w:cs="宋体"/>
                <w:color w:val="000000"/>
                <w:spacing w:val="-6"/>
                <w:sz w:val="21"/>
                <w:szCs w:val="21"/>
              </w:rPr>
              <w:t>架空电力线（杆高 11m）</w:t>
            </w:r>
          </w:p>
        </w:tc>
      </w:tr>
      <w:tr w14:paraId="2AB8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5732A4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1786" w:type="dxa"/>
            <w:vMerge w:val="continue"/>
            <w:noWrap w:val="0"/>
            <w:vAlign w:val="center"/>
          </w:tcPr>
          <w:p w14:paraId="4153D6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721" w:type="dxa"/>
            <w:noWrap w:val="0"/>
            <w:vAlign w:val="center"/>
          </w:tcPr>
          <w:p w14:paraId="34D9DA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29612D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54</w:t>
            </w:r>
          </w:p>
        </w:tc>
        <w:tc>
          <w:tcPr>
            <w:tcW w:w="901" w:type="dxa"/>
            <w:noWrap w:val="0"/>
            <w:vAlign w:val="center"/>
          </w:tcPr>
          <w:p w14:paraId="43E7483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w:t>
            </w:r>
          </w:p>
        </w:tc>
        <w:tc>
          <w:tcPr>
            <w:tcW w:w="1320" w:type="dxa"/>
            <w:noWrap w:val="0"/>
            <w:vAlign w:val="center"/>
          </w:tcPr>
          <w:p w14:paraId="634554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44.3</w:t>
            </w:r>
          </w:p>
        </w:tc>
        <w:tc>
          <w:tcPr>
            <w:tcW w:w="1745" w:type="dxa"/>
            <w:vMerge w:val="continue"/>
            <w:noWrap w:val="0"/>
            <w:vAlign w:val="center"/>
          </w:tcPr>
          <w:p w14:paraId="4326997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019F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584426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1786" w:type="dxa"/>
            <w:vMerge w:val="continue"/>
            <w:noWrap w:val="0"/>
            <w:vAlign w:val="center"/>
          </w:tcPr>
          <w:p w14:paraId="5A0D8E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0EC399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shd w:val="clear" w:color="auto" w:fill="auto"/>
            <w:noWrap w:val="0"/>
            <w:vAlign w:val="center"/>
          </w:tcPr>
          <w:p w14:paraId="72C551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901" w:type="dxa"/>
            <w:shd w:val="clear" w:color="auto" w:fill="auto"/>
            <w:noWrap w:val="0"/>
            <w:vAlign w:val="center"/>
          </w:tcPr>
          <w:p w14:paraId="4A172B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320" w:type="dxa"/>
            <w:shd w:val="clear" w:color="auto" w:fill="auto"/>
            <w:noWrap w:val="0"/>
            <w:vAlign w:val="center"/>
          </w:tcPr>
          <w:p w14:paraId="3A0014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745" w:type="dxa"/>
            <w:vMerge w:val="continue"/>
            <w:noWrap w:val="0"/>
            <w:vAlign w:val="center"/>
          </w:tcPr>
          <w:p w14:paraId="4CA1BE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bl>
    <w:p w14:paraId="1D76D74C">
      <w:pPr>
        <w:spacing w:line="360" w:lineRule="auto"/>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表2-</w:t>
      </w:r>
      <w:r>
        <w:rPr>
          <w:rFonts w:hint="eastAsia" w:ascii="宋体" w:hAnsi="宋体" w:eastAsia="宋体" w:cs="宋体"/>
          <w:bCs/>
          <w:color w:val="000000"/>
          <w:sz w:val="28"/>
          <w:szCs w:val="28"/>
          <w:lang w:val="en-US" w:eastAsia="zh-CN"/>
        </w:rPr>
        <w:t>2</w:t>
      </w:r>
      <w:r>
        <w:rPr>
          <w:rFonts w:hint="eastAsia" w:ascii="宋体" w:hAnsi="宋体" w:eastAsia="宋体" w:cs="宋体"/>
          <w:bCs/>
          <w:color w:val="000000"/>
          <w:sz w:val="28"/>
          <w:szCs w:val="28"/>
        </w:rPr>
        <w:t>柴油设备与站外建（构）筑物的安全间距对照检查表</w:t>
      </w:r>
    </w:p>
    <w:tbl>
      <w:tblPr>
        <w:tblStyle w:val="1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0"/>
        <w:gridCol w:w="1786"/>
        <w:gridCol w:w="721"/>
        <w:gridCol w:w="1981"/>
        <w:gridCol w:w="901"/>
        <w:gridCol w:w="1320"/>
        <w:gridCol w:w="1745"/>
        <w:gridCol w:w="8"/>
      </w:tblGrid>
      <w:tr w14:paraId="641B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8" w:type="dxa"/>
          <w:trHeight w:val="304" w:hRule="exact"/>
          <w:tblHeader/>
          <w:jc w:val="center"/>
        </w:trPr>
        <w:tc>
          <w:tcPr>
            <w:tcW w:w="3243" w:type="dxa"/>
            <w:gridSpan w:val="4"/>
            <w:vMerge w:val="restart"/>
            <w:noWrap w:val="0"/>
            <w:vAlign w:val="center"/>
          </w:tcPr>
          <w:p w14:paraId="5BDEB37A">
            <w:pPr>
              <w:snapToGrid w:val="0"/>
              <w:spacing w:before="120"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pacing w:val="10"/>
                <w:sz w:val="21"/>
                <w:szCs w:val="21"/>
              </w:rPr>
              <w:t>站外建（构）筑物</w:t>
            </w:r>
          </w:p>
        </w:tc>
        <w:tc>
          <w:tcPr>
            <w:tcW w:w="5947" w:type="dxa"/>
            <w:gridSpan w:val="4"/>
            <w:noWrap w:val="0"/>
            <w:vAlign w:val="center"/>
          </w:tcPr>
          <w:p w14:paraId="75BBA06F">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pacing w:val="20"/>
                <w:sz w:val="21"/>
                <w:szCs w:val="21"/>
              </w:rPr>
              <w:t>站内</w:t>
            </w:r>
            <w:r>
              <w:rPr>
                <w:rFonts w:hint="eastAsia" w:ascii="宋体" w:hAnsi="宋体" w:cs="宋体"/>
                <w:b/>
                <w:bCs/>
                <w:color w:val="000000"/>
                <w:spacing w:val="20"/>
                <w:sz w:val="21"/>
                <w:szCs w:val="21"/>
                <w:lang w:val="en-US" w:eastAsia="zh-CN"/>
              </w:rPr>
              <w:t>柴油</w:t>
            </w:r>
            <w:r>
              <w:rPr>
                <w:rFonts w:hint="eastAsia" w:ascii="宋体" w:hAnsi="宋体" w:eastAsia="宋体" w:cs="宋体"/>
                <w:b/>
                <w:bCs/>
                <w:color w:val="000000"/>
                <w:spacing w:val="10"/>
                <w:sz w:val="21"/>
                <w:szCs w:val="21"/>
              </w:rPr>
              <w:t>设备（</w:t>
            </w:r>
            <w:r>
              <w:rPr>
                <w:rFonts w:hint="eastAsia" w:ascii="宋体" w:hAnsi="宋体" w:cs="宋体"/>
                <w:b/>
                <w:bCs/>
                <w:color w:val="000000"/>
                <w:spacing w:val="10"/>
                <w:sz w:val="21"/>
                <w:szCs w:val="21"/>
                <w:lang w:val="en-US" w:eastAsia="zh-CN"/>
              </w:rPr>
              <w:t>二</w:t>
            </w:r>
            <w:r>
              <w:rPr>
                <w:rFonts w:hint="eastAsia" w:ascii="宋体" w:hAnsi="宋体" w:eastAsia="宋体" w:cs="宋体"/>
                <w:b/>
                <w:bCs/>
                <w:color w:val="000000"/>
                <w:sz w:val="21"/>
                <w:szCs w:val="21"/>
              </w:rPr>
              <w:t>级站、</w:t>
            </w:r>
            <w:r>
              <w:rPr>
                <w:rFonts w:hint="eastAsia" w:ascii="宋体" w:hAnsi="宋体" w:eastAsia="宋体" w:cs="宋体"/>
                <w:b/>
                <w:color w:val="000000"/>
                <w:sz w:val="21"/>
                <w:szCs w:val="21"/>
              </w:rPr>
              <w:t>有卸油和加油油气回收系统</w:t>
            </w:r>
            <w:r>
              <w:rPr>
                <w:rFonts w:hint="eastAsia" w:ascii="宋体" w:hAnsi="宋体" w:eastAsia="宋体" w:cs="宋体"/>
                <w:b/>
                <w:bCs/>
                <w:color w:val="000000"/>
                <w:spacing w:val="10"/>
                <w:sz w:val="21"/>
                <w:szCs w:val="21"/>
              </w:rPr>
              <w:t>）</w:t>
            </w:r>
          </w:p>
        </w:tc>
      </w:tr>
      <w:tr w14:paraId="071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15" w:hRule="atLeast"/>
          <w:tblHeader/>
          <w:jc w:val="center"/>
        </w:trPr>
        <w:tc>
          <w:tcPr>
            <w:tcW w:w="3243" w:type="dxa"/>
            <w:gridSpan w:val="4"/>
            <w:vMerge w:val="continue"/>
            <w:noWrap w:val="0"/>
            <w:vAlign w:val="center"/>
          </w:tcPr>
          <w:p w14:paraId="359E2DD9">
            <w:pPr>
              <w:snapToGrid w:val="0"/>
              <w:spacing w:before="120" w:line="360" w:lineRule="auto"/>
              <w:jc w:val="center"/>
              <w:rPr>
                <w:rFonts w:hint="eastAsia" w:ascii="宋体" w:hAnsi="宋体" w:eastAsia="宋体" w:cs="宋体"/>
                <w:b/>
                <w:bCs/>
                <w:color w:val="000000"/>
                <w:spacing w:val="10"/>
                <w:sz w:val="21"/>
                <w:szCs w:val="21"/>
              </w:rPr>
            </w:pPr>
          </w:p>
        </w:tc>
        <w:tc>
          <w:tcPr>
            <w:tcW w:w="1981" w:type="dxa"/>
            <w:noWrap w:val="0"/>
            <w:vAlign w:val="center"/>
          </w:tcPr>
          <w:p w14:paraId="3470BD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pacing w:val="20"/>
                <w:sz w:val="21"/>
                <w:szCs w:val="21"/>
              </w:rPr>
            </w:pPr>
            <w:r>
              <w:rPr>
                <w:rFonts w:hint="eastAsia" w:ascii="宋体" w:hAnsi="宋体" w:eastAsia="宋体" w:cs="宋体"/>
                <w:b/>
                <w:bCs/>
                <w:color w:val="000000"/>
                <w:spacing w:val="20"/>
                <w:sz w:val="21"/>
                <w:szCs w:val="21"/>
              </w:rPr>
              <w:t>埋地油罐</w:t>
            </w:r>
          </w:p>
        </w:tc>
        <w:tc>
          <w:tcPr>
            <w:tcW w:w="901" w:type="dxa"/>
            <w:noWrap w:val="0"/>
            <w:vAlign w:val="center"/>
          </w:tcPr>
          <w:p w14:paraId="736EE3B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加油机</w:t>
            </w:r>
          </w:p>
        </w:tc>
        <w:tc>
          <w:tcPr>
            <w:tcW w:w="1320" w:type="dxa"/>
            <w:noWrap w:val="0"/>
            <w:vAlign w:val="center"/>
          </w:tcPr>
          <w:p w14:paraId="2145906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通气管管口</w:t>
            </w:r>
          </w:p>
        </w:tc>
        <w:tc>
          <w:tcPr>
            <w:tcW w:w="1745" w:type="dxa"/>
            <w:noWrap w:val="0"/>
            <w:vAlign w:val="center"/>
          </w:tcPr>
          <w:p w14:paraId="0A2097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备注</w:t>
            </w:r>
          </w:p>
        </w:tc>
      </w:tr>
      <w:tr w14:paraId="367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71EF29B4">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重要公共建筑物</w:t>
            </w:r>
          </w:p>
        </w:tc>
        <w:tc>
          <w:tcPr>
            <w:tcW w:w="721" w:type="dxa"/>
            <w:noWrap w:val="0"/>
            <w:vAlign w:val="center"/>
          </w:tcPr>
          <w:p w14:paraId="18FEED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52D0A9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25</w:t>
            </w:r>
          </w:p>
        </w:tc>
        <w:tc>
          <w:tcPr>
            <w:tcW w:w="901" w:type="dxa"/>
            <w:noWrap w:val="0"/>
            <w:vAlign w:val="center"/>
          </w:tcPr>
          <w:p w14:paraId="33CF91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25</w:t>
            </w:r>
          </w:p>
        </w:tc>
        <w:tc>
          <w:tcPr>
            <w:tcW w:w="1320" w:type="dxa"/>
            <w:noWrap w:val="0"/>
            <w:vAlign w:val="center"/>
          </w:tcPr>
          <w:p w14:paraId="5D93AC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25</w:t>
            </w:r>
          </w:p>
        </w:tc>
        <w:tc>
          <w:tcPr>
            <w:tcW w:w="1745" w:type="dxa"/>
            <w:vMerge w:val="restart"/>
            <w:noWrap w:val="0"/>
            <w:vAlign w:val="center"/>
          </w:tcPr>
          <w:p w14:paraId="46AA51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0631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B633CE2">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36464D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39AFB2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top"/>
          </w:tcPr>
          <w:p w14:paraId="5FCC95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top"/>
          </w:tcPr>
          <w:p w14:paraId="7BA8E4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6B42D3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2832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619D964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5B1742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19C081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0C2417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7D6CD9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114087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0BED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599BA8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明火地点或散发火花地点</w:t>
            </w:r>
          </w:p>
        </w:tc>
        <w:tc>
          <w:tcPr>
            <w:tcW w:w="721" w:type="dxa"/>
            <w:noWrap w:val="0"/>
            <w:vAlign w:val="center"/>
          </w:tcPr>
          <w:p w14:paraId="49F93B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09CAFF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12.5</w:t>
            </w:r>
          </w:p>
        </w:tc>
        <w:tc>
          <w:tcPr>
            <w:tcW w:w="901" w:type="dxa"/>
            <w:shd w:val="clear" w:color="auto" w:fill="auto"/>
            <w:noWrap w:val="0"/>
            <w:vAlign w:val="center"/>
          </w:tcPr>
          <w:p w14:paraId="60BEAD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1320" w:type="dxa"/>
            <w:shd w:val="clear" w:color="auto" w:fill="auto"/>
            <w:noWrap w:val="0"/>
            <w:vAlign w:val="center"/>
          </w:tcPr>
          <w:p w14:paraId="490818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1745" w:type="dxa"/>
            <w:vMerge w:val="restart"/>
            <w:shd w:val="clear" w:color="auto" w:fill="auto"/>
            <w:noWrap w:val="0"/>
            <w:vAlign w:val="center"/>
          </w:tcPr>
          <w:p w14:paraId="104BD56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无相关设施</w:t>
            </w:r>
          </w:p>
        </w:tc>
      </w:tr>
      <w:tr w14:paraId="3842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6C5E78A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6F2CE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shd w:val="clear" w:color="auto" w:fill="auto"/>
            <w:noWrap w:val="0"/>
            <w:vAlign w:val="center"/>
          </w:tcPr>
          <w:p w14:paraId="30D610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901" w:type="dxa"/>
            <w:shd w:val="clear" w:color="auto" w:fill="auto"/>
            <w:noWrap w:val="0"/>
            <w:vAlign w:val="top"/>
          </w:tcPr>
          <w:p w14:paraId="292AED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1320" w:type="dxa"/>
            <w:shd w:val="clear" w:color="auto" w:fill="auto"/>
            <w:noWrap w:val="0"/>
            <w:vAlign w:val="top"/>
          </w:tcPr>
          <w:p w14:paraId="176B47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无</w:t>
            </w:r>
          </w:p>
        </w:tc>
        <w:tc>
          <w:tcPr>
            <w:tcW w:w="1745" w:type="dxa"/>
            <w:vMerge w:val="continue"/>
            <w:shd w:val="clear" w:color="auto" w:fill="auto"/>
            <w:noWrap w:val="0"/>
            <w:vAlign w:val="center"/>
          </w:tcPr>
          <w:p w14:paraId="440F44E3">
            <w:pPr>
              <w:snapToGrid w:val="0"/>
              <w:spacing w:line="360" w:lineRule="auto"/>
              <w:jc w:val="center"/>
              <w:rPr>
                <w:rFonts w:hint="eastAsia" w:ascii="宋体" w:hAnsi="宋体" w:eastAsia="宋体" w:cs="宋体"/>
                <w:color w:val="000000"/>
                <w:sz w:val="21"/>
                <w:szCs w:val="21"/>
              </w:rPr>
            </w:pPr>
          </w:p>
        </w:tc>
      </w:tr>
      <w:tr w14:paraId="36B3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3D4D1AD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3E3EB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567C62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4849D7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34438D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shd w:val="clear" w:color="auto" w:fill="auto"/>
            <w:noWrap w:val="0"/>
            <w:vAlign w:val="center"/>
          </w:tcPr>
          <w:p w14:paraId="6584CA8C">
            <w:pPr>
              <w:snapToGrid w:val="0"/>
              <w:spacing w:line="360" w:lineRule="auto"/>
              <w:jc w:val="center"/>
              <w:rPr>
                <w:rFonts w:hint="eastAsia" w:ascii="宋体" w:hAnsi="宋体" w:eastAsia="宋体" w:cs="宋体"/>
                <w:color w:val="000000"/>
                <w:sz w:val="21"/>
                <w:szCs w:val="21"/>
              </w:rPr>
            </w:pPr>
          </w:p>
        </w:tc>
      </w:tr>
      <w:tr w14:paraId="6B5C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restart"/>
            <w:noWrap w:val="0"/>
            <w:vAlign w:val="center"/>
          </w:tcPr>
          <w:p w14:paraId="5B1D0809">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民用建筑物保护类别</w:t>
            </w:r>
          </w:p>
        </w:tc>
        <w:tc>
          <w:tcPr>
            <w:tcW w:w="1816" w:type="dxa"/>
            <w:gridSpan w:val="2"/>
            <w:vMerge w:val="restart"/>
            <w:noWrap w:val="0"/>
            <w:vAlign w:val="center"/>
          </w:tcPr>
          <w:p w14:paraId="3D6674BE">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一类保护物</w:t>
            </w:r>
          </w:p>
        </w:tc>
        <w:tc>
          <w:tcPr>
            <w:tcW w:w="721" w:type="dxa"/>
            <w:noWrap w:val="0"/>
            <w:vAlign w:val="center"/>
          </w:tcPr>
          <w:p w14:paraId="7E88AE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FC5A3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901" w:type="dxa"/>
            <w:noWrap w:val="0"/>
            <w:vAlign w:val="center"/>
          </w:tcPr>
          <w:p w14:paraId="20A51F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320" w:type="dxa"/>
            <w:noWrap w:val="0"/>
            <w:vAlign w:val="center"/>
          </w:tcPr>
          <w:p w14:paraId="2C2881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745" w:type="dxa"/>
            <w:vMerge w:val="restart"/>
            <w:noWrap w:val="0"/>
            <w:vAlign w:val="center"/>
          </w:tcPr>
          <w:p w14:paraId="3A35B5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东面养老院</w:t>
            </w:r>
          </w:p>
        </w:tc>
      </w:tr>
      <w:tr w14:paraId="7DF6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5BCB12AD">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4371B1B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30D87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0AF726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w:t>
            </w:r>
          </w:p>
        </w:tc>
        <w:tc>
          <w:tcPr>
            <w:tcW w:w="901" w:type="dxa"/>
            <w:noWrap w:val="0"/>
            <w:vAlign w:val="center"/>
          </w:tcPr>
          <w:p w14:paraId="68A657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55</w:t>
            </w:r>
          </w:p>
        </w:tc>
        <w:tc>
          <w:tcPr>
            <w:tcW w:w="1320" w:type="dxa"/>
            <w:noWrap w:val="0"/>
            <w:vAlign w:val="center"/>
          </w:tcPr>
          <w:p w14:paraId="750089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55.5</w:t>
            </w:r>
          </w:p>
        </w:tc>
        <w:tc>
          <w:tcPr>
            <w:tcW w:w="1745" w:type="dxa"/>
            <w:vMerge w:val="continue"/>
            <w:noWrap w:val="0"/>
            <w:vAlign w:val="center"/>
          </w:tcPr>
          <w:p w14:paraId="65BDD19F">
            <w:pPr>
              <w:snapToGrid w:val="0"/>
              <w:spacing w:line="360" w:lineRule="auto"/>
              <w:jc w:val="center"/>
              <w:rPr>
                <w:rFonts w:hint="eastAsia" w:ascii="宋体" w:hAnsi="宋体" w:eastAsia="宋体" w:cs="宋体"/>
                <w:color w:val="000000"/>
                <w:sz w:val="21"/>
                <w:szCs w:val="21"/>
              </w:rPr>
            </w:pPr>
          </w:p>
        </w:tc>
      </w:tr>
      <w:tr w14:paraId="4737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19476A61">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25BC3879">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580663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03DF2A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符合</w:t>
            </w:r>
          </w:p>
        </w:tc>
        <w:tc>
          <w:tcPr>
            <w:tcW w:w="901" w:type="dxa"/>
            <w:noWrap w:val="0"/>
            <w:vAlign w:val="center"/>
          </w:tcPr>
          <w:p w14:paraId="3E8B56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符合</w:t>
            </w:r>
          </w:p>
        </w:tc>
        <w:tc>
          <w:tcPr>
            <w:tcW w:w="1320" w:type="dxa"/>
            <w:noWrap w:val="0"/>
            <w:vAlign w:val="center"/>
          </w:tcPr>
          <w:p w14:paraId="293AB3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符合</w:t>
            </w:r>
          </w:p>
        </w:tc>
        <w:tc>
          <w:tcPr>
            <w:tcW w:w="1745" w:type="dxa"/>
            <w:vMerge w:val="continue"/>
            <w:noWrap w:val="0"/>
            <w:vAlign w:val="center"/>
          </w:tcPr>
          <w:p w14:paraId="24CF0BA8">
            <w:pPr>
              <w:snapToGrid w:val="0"/>
              <w:spacing w:line="360" w:lineRule="auto"/>
              <w:jc w:val="center"/>
              <w:rPr>
                <w:rFonts w:hint="eastAsia" w:ascii="宋体" w:hAnsi="宋体" w:eastAsia="宋体" w:cs="宋体"/>
                <w:color w:val="000000"/>
                <w:sz w:val="21"/>
                <w:szCs w:val="21"/>
              </w:rPr>
            </w:pPr>
          </w:p>
        </w:tc>
      </w:tr>
      <w:tr w14:paraId="6EDD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46F514AD">
            <w:pPr>
              <w:snapToGrid w:val="0"/>
              <w:spacing w:line="360" w:lineRule="auto"/>
              <w:jc w:val="center"/>
              <w:rPr>
                <w:rFonts w:hint="eastAsia" w:ascii="宋体" w:hAnsi="宋体" w:eastAsia="宋体" w:cs="宋体"/>
                <w:b/>
                <w:bCs/>
                <w:color w:val="000000"/>
                <w:sz w:val="21"/>
                <w:szCs w:val="21"/>
              </w:rPr>
            </w:pPr>
          </w:p>
        </w:tc>
        <w:tc>
          <w:tcPr>
            <w:tcW w:w="1816" w:type="dxa"/>
            <w:gridSpan w:val="2"/>
            <w:vMerge w:val="restart"/>
            <w:noWrap w:val="0"/>
            <w:vAlign w:val="center"/>
          </w:tcPr>
          <w:p w14:paraId="6D651AF8">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二类保护物</w:t>
            </w:r>
          </w:p>
        </w:tc>
        <w:tc>
          <w:tcPr>
            <w:tcW w:w="721" w:type="dxa"/>
            <w:noWrap w:val="0"/>
            <w:vAlign w:val="center"/>
          </w:tcPr>
          <w:p w14:paraId="62175A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3BB80C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901" w:type="dxa"/>
            <w:noWrap w:val="0"/>
            <w:vAlign w:val="center"/>
          </w:tcPr>
          <w:p w14:paraId="56479D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320" w:type="dxa"/>
            <w:noWrap w:val="0"/>
            <w:vAlign w:val="center"/>
          </w:tcPr>
          <w:p w14:paraId="49D6BE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745" w:type="dxa"/>
            <w:vMerge w:val="restart"/>
            <w:noWrap w:val="0"/>
            <w:vAlign w:val="center"/>
          </w:tcPr>
          <w:p w14:paraId="5EDA663A">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31C1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455B49B0">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688A014E">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4D7F7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095727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38AAEF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55F9BF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2E442CED">
            <w:pPr>
              <w:snapToGrid w:val="0"/>
              <w:spacing w:line="360" w:lineRule="auto"/>
              <w:jc w:val="center"/>
              <w:rPr>
                <w:rFonts w:hint="eastAsia" w:ascii="宋体" w:hAnsi="宋体" w:eastAsia="宋体" w:cs="宋体"/>
                <w:color w:val="000000"/>
                <w:sz w:val="21"/>
                <w:szCs w:val="21"/>
              </w:rPr>
            </w:pPr>
          </w:p>
        </w:tc>
      </w:tr>
      <w:tr w14:paraId="4420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6BC622D4">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6D444433">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3C53F88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64FB54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31E0CEE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746BFA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3C69E9A7">
            <w:pPr>
              <w:snapToGrid w:val="0"/>
              <w:spacing w:line="360" w:lineRule="auto"/>
              <w:jc w:val="center"/>
              <w:rPr>
                <w:rFonts w:hint="eastAsia" w:ascii="宋体" w:hAnsi="宋体" w:eastAsia="宋体" w:cs="宋体"/>
                <w:color w:val="000000"/>
                <w:sz w:val="21"/>
                <w:szCs w:val="21"/>
              </w:rPr>
            </w:pPr>
          </w:p>
        </w:tc>
      </w:tr>
      <w:tr w14:paraId="322F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24F9DA73">
            <w:pPr>
              <w:snapToGrid w:val="0"/>
              <w:spacing w:line="360" w:lineRule="auto"/>
              <w:jc w:val="center"/>
              <w:rPr>
                <w:rFonts w:hint="eastAsia" w:ascii="宋体" w:hAnsi="宋体" w:eastAsia="宋体" w:cs="宋体"/>
                <w:b/>
                <w:bCs/>
                <w:color w:val="000000"/>
                <w:sz w:val="21"/>
                <w:szCs w:val="21"/>
              </w:rPr>
            </w:pPr>
          </w:p>
        </w:tc>
        <w:tc>
          <w:tcPr>
            <w:tcW w:w="1816" w:type="dxa"/>
            <w:gridSpan w:val="2"/>
            <w:vMerge w:val="restart"/>
            <w:noWrap w:val="0"/>
            <w:vAlign w:val="center"/>
          </w:tcPr>
          <w:p w14:paraId="6EEE5BE8">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三类保护物</w:t>
            </w:r>
          </w:p>
        </w:tc>
        <w:tc>
          <w:tcPr>
            <w:tcW w:w="721" w:type="dxa"/>
            <w:noWrap w:val="0"/>
            <w:vAlign w:val="center"/>
          </w:tcPr>
          <w:p w14:paraId="036801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规范</w:t>
            </w:r>
          </w:p>
        </w:tc>
        <w:tc>
          <w:tcPr>
            <w:tcW w:w="1981" w:type="dxa"/>
            <w:noWrap w:val="0"/>
            <w:vAlign w:val="center"/>
          </w:tcPr>
          <w:p w14:paraId="21BAEA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901" w:type="dxa"/>
            <w:noWrap w:val="0"/>
            <w:vAlign w:val="center"/>
          </w:tcPr>
          <w:p w14:paraId="07EEE7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1320" w:type="dxa"/>
            <w:noWrap w:val="0"/>
            <w:vAlign w:val="center"/>
          </w:tcPr>
          <w:p w14:paraId="1942D0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1745" w:type="dxa"/>
            <w:vMerge w:val="restart"/>
            <w:noWrap w:val="0"/>
            <w:vAlign w:val="center"/>
          </w:tcPr>
          <w:p w14:paraId="580D73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北面民房</w:t>
            </w:r>
          </w:p>
        </w:tc>
      </w:tr>
      <w:tr w14:paraId="2868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06" w:type="dxa"/>
            <w:vMerge w:val="continue"/>
            <w:noWrap w:val="0"/>
            <w:vAlign w:val="center"/>
          </w:tcPr>
          <w:p w14:paraId="4C12004B">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3BADDC5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32D3F6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实测</w:t>
            </w:r>
          </w:p>
        </w:tc>
        <w:tc>
          <w:tcPr>
            <w:tcW w:w="1981" w:type="dxa"/>
            <w:noWrap w:val="0"/>
            <w:vAlign w:val="center"/>
          </w:tcPr>
          <w:p w14:paraId="4C0D02C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22.2</w:t>
            </w:r>
          </w:p>
        </w:tc>
        <w:tc>
          <w:tcPr>
            <w:tcW w:w="901" w:type="dxa"/>
            <w:noWrap w:val="0"/>
            <w:vAlign w:val="center"/>
          </w:tcPr>
          <w:p w14:paraId="60FD5A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28.4</w:t>
            </w:r>
          </w:p>
        </w:tc>
        <w:tc>
          <w:tcPr>
            <w:tcW w:w="1320" w:type="dxa"/>
            <w:noWrap w:val="0"/>
            <w:vAlign w:val="center"/>
          </w:tcPr>
          <w:p w14:paraId="74C0A3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27.9</w:t>
            </w:r>
          </w:p>
        </w:tc>
        <w:tc>
          <w:tcPr>
            <w:tcW w:w="1745" w:type="dxa"/>
            <w:vMerge w:val="continue"/>
            <w:noWrap w:val="0"/>
            <w:vAlign w:val="center"/>
          </w:tcPr>
          <w:p w14:paraId="00B27FA2">
            <w:pPr>
              <w:snapToGrid w:val="0"/>
              <w:spacing w:line="360" w:lineRule="auto"/>
              <w:jc w:val="center"/>
              <w:rPr>
                <w:rFonts w:hint="eastAsia" w:ascii="宋体" w:hAnsi="宋体" w:eastAsia="宋体" w:cs="宋体"/>
                <w:color w:val="000000"/>
                <w:sz w:val="21"/>
                <w:szCs w:val="21"/>
              </w:rPr>
            </w:pPr>
          </w:p>
        </w:tc>
      </w:tr>
      <w:tr w14:paraId="2707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246C6615">
            <w:pPr>
              <w:snapToGrid w:val="0"/>
              <w:spacing w:line="360" w:lineRule="auto"/>
              <w:jc w:val="center"/>
              <w:rPr>
                <w:rFonts w:hint="eastAsia" w:ascii="宋体" w:hAnsi="宋体" w:eastAsia="宋体" w:cs="宋体"/>
                <w:b/>
                <w:bCs/>
                <w:color w:val="000000"/>
                <w:sz w:val="21"/>
                <w:szCs w:val="21"/>
              </w:rPr>
            </w:pPr>
          </w:p>
        </w:tc>
        <w:tc>
          <w:tcPr>
            <w:tcW w:w="1816" w:type="dxa"/>
            <w:gridSpan w:val="2"/>
            <w:vMerge w:val="continue"/>
            <w:noWrap w:val="0"/>
            <w:vAlign w:val="center"/>
          </w:tcPr>
          <w:p w14:paraId="4D774086">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76683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68E631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140DBE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55A28E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noWrap w:val="0"/>
            <w:vAlign w:val="center"/>
          </w:tcPr>
          <w:p w14:paraId="7332B859">
            <w:pPr>
              <w:snapToGrid w:val="0"/>
              <w:spacing w:line="360" w:lineRule="auto"/>
              <w:jc w:val="center"/>
              <w:rPr>
                <w:rFonts w:hint="eastAsia" w:ascii="宋体" w:hAnsi="宋体" w:eastAsia="宋体" w:cs="宋体"/>
                <w:color w:val="000000"/>
                <w:sz w:val="21"/>
                <w:szCs w:val="21"/>
              </w:rPr>
            </w:pPr>
          </w:p>
        </w:tc>
      </w:tr>
      <w:tr w14:paraId="6367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B5215E3">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21479229">
            <w:pPr>
              <w:snapToGrid w:val="0"/>
              <w:spacing w:line="360" w:lineRule="auto"/>
              <w:jc w:val="center"/>
              <w:rPr>
                <w:rFonts w:hint="eastAsia" w:ascii="宋体" w:hAnsi="宋体" w:eastAsia="宋体" w:cs="宋体"/>
                <w:sz w:val="21"/>
                <w:szCs w:val="21"/>
              </w:rPr>
            </w:pPr>
          </w:p>
        </w:tc>
        <w:tc>
          <w:tcPr>
            <w:tcW w:w="721" w:type="dxa"/>
            <w:noWrap w:val="0"/>
            <w:vAlign w:val="center"/>
          </w:tcPr>
          <w:p w14:paraId="7BDBE1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规范</w:t>
            </w:r>
          </w:p>
        </w:tc>
        <w:tc>
          <w:tcPr>
            <w:tcW w:w="1981" w:type="dxa"/>
            <w:shd w:val="clear" w:color="auto" w:fill="auto"/>
            <w:noWrap w:val="0"/>
            <w:vAlign w:val="center"/>
          </w:tcPr>
          <w:p w14:paraId="38EA0E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6</w:t>
            </w:r>
          </w:p>
        </w:tc>
        <w:tc>
          <w:tcPr>
            <w:tcW w:w="901" w:type="dxa"/>
            <w:shd w:val="clear" w:color="auto" w:fill="auto"/>
            <w:noWrap w:val="0"/>
            <w:vAlign w:val="center"/>
          </w:tcPr>
          <w:p w14:paraId="02B043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6</w:t>
            </w:r>
          </w:p>
        </w:tc>
        <w:tc>
          <w:tcPr>
            <w:tcW w:w="1320" w:type="dxa"/>
            <w:shd w:val="clear" w:color="auto" w:fill="auto"/>
            <w:noWrap w:val="0"/>
            <w:vAlign w:val="center"/>
          </w:tcPr>
          <w:p w14:paraId="01853C1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6</w:t>
            </w:r>
          </w:p>
        </w:tc>
        <w:tc>
          <w:tcPr>
            <w:tcW w:w="1753" w:type="dxa"/>
            <w:gridSpan w:val="2"/>
            <w:vMerge w:val="restart"/>
            <w:noWrap w:val="0"/>
            <w:vAlign w:val="center"/>
          </w:tcPr>
          <w:p w14:paraId="4D9F2B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西面为商业用房（饭馆）</w:t>
            </w:r>
          </w:p>
        </w:tc>
      </w:tr>
      <w:tr w14:paraId="068B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07BAD28E">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1E21342F">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3098F8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实测</w:t>
            </w:r>
          </w:p>
        </w:tc>
        <w:tc>
          <w:tcPr>
            <w:tcW w:w="1981" w:type="dxa"/>
            <w:noWrap w:val="0"/>
            <w:vAlign w:val="center"/>
          </w:tcPr>
          <w:p w14:paraId="719759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69.5</w:t>
            </w:r>
          </w:p>
        </w:tc>
        <w:tc>
          <w:tcPr>
            <w:tcW w:w="901" w:type="dxa"/>
            <w:noWrap w:val="0"/>
            <w:vAlign w:val="center"/>
          </w:tcPr>
          <w:p w14:paraId="72FD9D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33.2</w:t>
            </w:r>
          </w:p>
        </w:tc>
        <w:tc>
          <w:tcPr>
            <w:tcW w:w="1320" w:type="dxa"/>
            <w:noWrap w:val="0"/>
            <w:vAlign w:val="center"/>
          </w:tcPr>
          <w:p w14:paraId="47F3394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45.2</w:t>
            </w:r>
          </w:p>
        </w:tc>
        <w:tc>
          <w:tcPr>
            <w:tcW w:w="1753" w:type="dxa"/>
            <w:gridSpan w:val="2"/>
            <w:vMerge w:val="continue"/>
            <w:noWrap w:val="0"/>
            <w:vAlign w:val="center"/>
          </w:tcPr>
          <w:p w14:paraId="01101B8D">
            <w:pPr>
              <w:snapToGrid w:val="0"/>
              <w:spacing w:line="360" w:lineRule="auto"/>
              <w:jc w:val="center"/>
              <w:rPr>
                <w:rFonts w:hint="eastAsia" w:ascii="宋体" w:hAnsi="宋体" w:eastAsia="宋体" w:cs="宋体"/>
                <w:color w:val="000000"/>
                <w:sz w:val="21"/>
                <w:szCs w:val="21"/>
              </w:rPr>
            </w:pPr>
          </w:p>
        </w:tc>
      </w:tr>
      <w:tr w14:paraId="6CB4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250B0C58">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5A001FC6">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121D937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59AE46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2F1E9A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6EDDF7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471BAD12">
            <w:pPr>
              <w:snapToGrid w:val="0"/>
              <w:spacing w:line="360" w:lineRule="auto"/>
              <w:jc w:val="center"/>
              <w:rPr>
                <w:rFonts w:hint="eastAsia" w:ascii="宋体" w:hAnsi="宋体" w:eastAsia="宋体" w:cs="宋体"/>
                <w:color w:val="000000"/>
                <w:sz w:val="21"/>
                <w:szCs w:val="21"/>
              </w:rPr>
            </w:pPr>
          </w:p>
        </w:tc>
      </w:tr>
      <w:tr w14:paraId="26CA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008B5D7">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0BD9A503">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5C00B5E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规范</w:t>
            </w:r>
          </w:p>
        </w:tc>
        <w:tc>
          <w:tcPr>
            <w:tcW w:w="1981" w:type="dxa"/>
            <w:noWrap w:val="0"/>
            <w:vAlign w:val="center"/>
          </w:tcPr>
          <w:p w14:paraId="3B5ED1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901" w:type="dxa"/>
            <w:noWrap w:val="0"/>
            <w:vAlign w:val="center"/>
          </w:tcPr>
          <w:p w14:paraId="5F5B9D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320" w:type="dxa"/>
            <w:noWrap w:val="0"/>
            <w:vAlign w:val="center"/>
          </w:tcPr>
          <w:p w14:paraId="5226C1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753" w:type="dxa"/>
            <w:gridSpan w:val="2"/>
            <w:vMerge w:val="restart"/>
            <w:noWrap w:val="0"/>
            <w:vAlign w:val="center"/>
          </w:tcPr>
          <w:p w14:paraId="5344F0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南面为商业用房（饭馆）</w:t>
            </w:r>
          </w:p>
        </w:tc>
      </w:tr>
      <w:tr w14:paraId="16A8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69320ACF">
            <w:pPr>
              <w:snapToGrid w:val="0"/>
              <w:spacing w:line="360" w:lineRule="auto"/>
              <w:jc w:val="center"/>
              <w:rPr>
                <w:rFonts w:hint="eastAsia" w:ascii="宋体" w:hAnsi="宋体" w:eastAsia="宋体" w:cs="宋体"/>
                <w:color w:val="000000"/>
                <w:sz w:val="21"/>
                <w:szCs w:val="21"/>
              </w:rPr>
            </w:pPr>
          </w:p>
        </w:tc>
        <w:tc>
          <w:tcPr>
            <w:tcW w:w="1816" w:type="dxa"/>
            <w:gridSpan w:val="2"/>
            <w:vMerge w:val="continue"/>
            <w:noWrap w:val="0"/>
            <w:vAlign w:val="center"/>
          </w:tcPr>
          <w:p w14:paraId="53321D31">
            <w:pPr>
              <w:snapToGrid w:val="0"/>
              <w:spacing w:line="360" w:lineRule="auto"/>
              <w:jc w:val="center"/>
              <w:rPr>
                <w:rFonts w:hint="eastAsia" w:ascii="宋体" w:hAnsi="宋体" w:eastAsia="宋体" w:cs="宋体"/>
                <w:color w:val="000000"/>
                <w:sz w:val="21"/>
                <w:szCs w:val="21"/>
              </w:rPr>
            </w:pPr>
          </w:p>
        </w:tc>
        <w:tc>
          <w:tcPr>
            <w:tcW w:w="721" w:type="dxa"/>
            <w:noWrap w:val="0"/>
            <w:vAlign w:val="center"/>
          </w:tcPr>
          <w:p w14:paraId="43CF55C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实测</w:t>
            </w:r>
          </w:p>
        </w:tc>
        <w:tc>
          <w:tcPr>
            <w:tcW w:w="1981" w:type="dxa"/>
            <w:noWrap w:val="0"/>
            <w:vAlign w:val="center"/>
          </w:tcPr>
          <w:p w14:paraId="787979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63</w:t>
            </w:r>
          </w:p>
        </w:tc>
        <w:tc>
          <w:tcPr>
            <w:tcW w:w="901" w:type="dxa"/>
            <w:noWrap w:val="0"/>
            <w:vAlign w:val="center"/>
          </w:tcPr>
          <w:p w14:paraId="59642D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w:t>
            </w:r>
          </w:p>
        </w:tc>
        <w:tc>
          <w:tcPr>
            <w:tcW w:w="1320" w:type="dxa"/>
            <w:noWrap w:val="0"/>
            <w:vAlign w:val="center"/>
          </w:tcPr>
          <w:p w14:paraId="11F1C9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46.3</w:t>
            </w:r>
          </w:p>
        </w:tc>
        <w:tc>
          <w:tcPr>
            <w:tcW w:w="1753" w:type="dxa"/>
            <w:gridSpan w:val="2"/>
            <w:vMerge w:val="continue"/>
            <w:noWrap w:val="0"/>
            <w:vAlign w:val="center"/>
          </w:tcPr>
          <w:p w14:paraId="20B71AAB">
            <w:pPr>
              <w:snapToGrid w:val="0"/>
              <w:spacing w:line="360" w:lineRule="auto"/>
              <w:jc w:val="center"/>
              <w:rPr>
                <w:rFonts w:hint="eastAsia" w:ascii="宋体" w:hAnsi="宋体" w:eastAsia="宋体" w:cs="宋体"/>
                <w:color w:val="000000"/>
                <w:sz w:val="21"/>
                <w:szCs w:val="21"/>
              </w:rPr>
            </w:pPr>
          </w:p>
        </w:tc>
      </w:tr>
      <w:tr w14:paraId="5960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32C82C19">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57BC01D0">
            <w:pPr>
              <w:snapToGrid w:val="0"/>
              <w:spacing w:line="360" w:lineRule="auto"/>
              <w:jc w:val="center"/>
              <w:rPr>
                <w:rFonts w:hint="eastAsia" w:ascii="宋体" w:hAnsi="宋体" w:eastAsia="宋体" w:cs="宋体"/>
                <w:sz w:val="21"/>
                <w:szCs w:val="21"/>
              </w:rPr>
            </w:pPr>
          </w:p>
        </w:tc>
        <w:tc>
          <w:tcPr>
            <w:tcW w:w="721" w:type="dxa"/>
            <w:noWrap w:val="0"/>
            <w:vAlign w:val="center"/>
          </w:tcPr>
          <w:p w14:paraId="63E28A2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top"/>
          </w:tcPr>
          <w:p w14:paraId="597B24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top"/>
          </w:tcPr>
          <w:p w14:paraId="69F5FC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top"/>
          </w:tcPr>
          <w:p w14:paraId="776D19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767FA36E">
            <w:pPr>
              <w:snapToGrid w:val="0"/>
              <w:spacing w:line="360" w:lineRule="auto"/>
              <w:jc w:val="center"/>
              <w:rPr>
                <w:rFonts w:hint="eastAsia" w:ascii="宋体" w:hAnsi="宋体" w:eastAsia="宋体" w:cs="宋体"/>
                <w:color w:val="000000"/>
                <w:sz w:val="21"/>
                <w:szCs w:val="21"/>
              </w:rPr>
            </w:pPr>
          </w:p>
        </w:tc>
      </w:tr>
      <w:tr w14:paraId="49C7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7048395E">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77129062">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160364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规范</w:t>
            </w:r>
          </w:p>
        </w:tc>
        <w:tc>
          <w:tcPr>
            <w:tcW w:w="1981" w:type="dxa"/>
            <w:noWrap w:val="0"/>
            <w:vAlign w:val="center"/>
          </w:tcPr>
          <w:p w14:paraId="0F1232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901" w:type="dxa"/>
            <w:shd w:val="clear" w:color="auto" w:fill="auto"/>
            <w:noWrap w:val="0"/>
            <w:vAlign w:val="center"/>
          </w:tcPr>
          <w:p w14:paraId="66C424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320" w:type="dxa"/>
            <w:shd w:val="clear" w:color="auto" w:fill="auto"/>
            <w:noWrap w:val="0"/>
            <w:vAlign w:val="center"/>
          </w:tcPr>
          <w:p w14:paraId="63A1FB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w:t>
            </w:r>
          </w:p>
        </w:tc>
        <w:tc>
          <w:tcPr>
            <w:tcW w:w="1753" w:type="dxa"/>
            <w:gridSpan w:val="2"/>
            <w:vMerge w:val="restart"/>
            <w:noWrap w:val="0"/>
            <w:vAlign w:val="center"/>
          </w:tcPr>
          <w:p w14:paraId="66C86E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加油站北侧洗车场</w:t>
            </w:r>
          </w:p>
        </w:tc>
      </w:tr>
      <w:tr w14:paraId="698D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34D9009C">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286B018D">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2996DE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实测</w:t>
            </w:r>
          </w:p>
        </w:tc>
        <w:tc>
          <w:tcPr>
            <w:tcW w:w="1981" w:type="dxa"/>
            <w:noWrap w:val="0"/>
            <w:vAlign w:val="center"/>
          </w:tcPr>
          <w:p w14:paraId="076701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25</w:t>
            </w:r>
          </w:p>
        </w:tc>
        <w:tc>
          <w:tcPr>
            <w:tcW w:w="901" w:type="dxa"/>
            <w:noWrap w:val="0"/>
            <w:vAlign w:val="center"/>
          </w:tcPr>
          <w:p w14:paraId="55CA24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1320" w:type="dxa"/>
            <w:noWrap w:val="0"/>
            <w:vAlign w:val="center"/>
          </w:tcPr>
          <w:p w14:paraId="0BEF48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w:t>
            </w:r>
          </w:p>
        </w:tc>
        <w:tc>
          <w:tcPr>
            <w:tcW w:w="1753" w:type="dxa"/>
            <w:gridSpan w:val="2"/>
            <w:vMerge w:val="continue"/>
            <w:noWrap w:val="0"/>
            <w:vAlign w:val="center"/>
          </w:tcPr>
          <w:p w14:paraId="026AF113">
            <w:pPr>
              <w:snapToGrid w:val="0"/>
              <w:spacing w:line="360" w:lineRule="auto"/>
              <w:jc w:val="center"/>
              <w:rPr>
                <w:rFonts w:hint="eastAsia" w:ascii="宋体" w:hAnsi="宋体" w:eastAsia="宋体" w:cs="宋体"/>
                <w:color w:val="000000"/>
                <w:sz w:val="21"/>
                <w:szCs w:val="21"/>
              </w:rPr>
            </w:pPr>
          </w:p>
        </w:tc>
      </w:tr>
      <w:tr w14:paraId="168B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6" w:type="dxa"/>
            <w:vMerge w:val="continue"/>
            <w:noWrap w:val="0"/>
            <w:vAlign w:val="center"/>
          </w:tcPr>
          <w:p w14:paraId="47DCA749">
            <w:pPr>
              <w:snapToGrid w:val="0"/>
              <w:spacing w:line="360" w:lineRule="auto"/>
              <w:jc w:val="center"/>
              <w:rPr>
                <w:rFonts w:hint="eastAsia" w:ascii="宋体" w:hAnsi="宋体" w:eastAsia="宋体" w:cs="宋体"/>
                <w:sz w:val="21"/>
                <w:szCs w:val="21"/>
              </w:rPr>
            </w:pPr>
          </w:p>
        </w:tc>
        <w:tc>
          <w:tcPr>
            <w:tcW w:w="1816" w:type="dxa"/>
            <w:gridSpan w:val="2"/>
            <w:vMerge w:val="continue"/>
            <w:noWrap w:val="0"/>
            <w:vAlign w:val="center"/>
          </w:tcPr>
          <w:p w14:paraId="5819DA80">
            <w:pPr>
              <w:snapToGrid w:val="0"/>
              <w:spacing w:line="360" w:lineRule="auto"/>
              <w:jc w:val="center"/>
              <w:rPr>
                <w:rFonts w:hint="eastAsia" w:ascii="宋体" w:hAnsi="宋体" w:eastAsia="宋体" w:cs="宋体"/>
                <w:sz w:val="21"/>
                <w:szCs w:val="21"/>
              </w:rPr>
            </w:pPr>
          </w:p>
        </w:tc>
        <w:tc>
          <w:tcPr>
            <w:tcW w:w="721" w:type="dxa"/>
            <w:shd w:val="clear" w:color="auto" w:fill="auto"/>
            <w:noWrap w:val="0"/>
            <w:vAlign w:val="center"/>
          </w:tcPr>
          <w:p w14:paraId="512B33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结论</w:t>
            </w:r>
          </w:p>
        </w:tc>
        <w:tc>
          <w:tcPr>
            <w:tcW w:w="1981" w:type="dxa"/>
            <w:shd w:val="clear" w:color="auto" w:fill="auto"/>
            <w:noWrap w:val="0"/>
            <w:vAlign w:val="center"/>
          </w:tcPr>
          <w:p w14:paraId="502F10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901" w:type="dxa"/>
            <w:shd w:val="clear" w:color="auto" w:fill="auto"/>
            <w:noWrap w:val="0"/>
            <w:vAlign w:val="center"/>
          </w:tcPr>
          <w:p w14:paraId="3B8B6D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1320" w:type="dxa"/>
            <w:shd w:val="clear" w:color="auto" w:fill="auto"/>
            <w:noWrap w:val="0"/>
            <w:vAlign w:val="center"/>
          </w:tcPr>
          <w:p w14:paraId="149ED5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符合</w:t>
            </w:r>
          </w:p>
        </w:tc>
        <w:tc>
          <w:tcPr>
            <w:tcW w:w="1753" w:type="dxa"/>
            <w:gridSpan w:val="2"/>
            <w:vMerge w:val="continue"/>
            <w:noWrap w:val="0"/>
            <w:vAlign w:val="center"/>
          </w:tcPr>
          <w:p w14:paraId="4A68138B">
            <w:pPr>
              <w:snapToGrid w:val="0"/>
              <w:spacing w:line="360" w:lineRule="auto"/>
              <w:jc w:val="center"/>
              <w:rPr>
                <w:rFonts w:hint="eastAsia" w:ascii="宋体" w:hAnsi="宋体" w:eastAsia="宋体" w:cs="宋体"/>
                <w:color w:val="000000"/>
                <w:sz w:val="21"/>
                <w:szCs w:val="21"/>
              </w:rPr>
            </w:pPr>
          </w:p>
        </w:tc>
      </w:tr>
      <w:tr w14:paraId="5F8F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51133C67">
            <w:pPr>
              <w:snapToGrid w:val="0"/>
              <w:spacing w:line="360" w:lineRule="auto"/>
              <w:jc w:val="left"/>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甲、乙类物品生产厂房、 库房和甲、乙类液体储罐</w:t>
            </w:r>
          </w:p>
        </w:tc>
        <w:tc>
          <w:tcPr>
            <w:tcW w:w="721" w:type="dxa"/>
            <w:noWrap w:val="0"/>
            <w:vAlign w:val="center"/>
          </w:tcPr>
          <w:p w14:paraId="6E319A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7BEB5E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w:t>
            </w:r>
          </w:p>
        </w:tc>
        <w:tc>
          <w:tcPr>
            <w:tcW w:w="901" w:type="dxa"/>
            <w:noWrap w:val="0"/>
            <w:vAlign w:val="center"/>
          </w:tcPr>
          <w:p w14:paraId="3FE25A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9</w:t>
            </w:r>
          </w:p>
        </w:tc>
        <w:tc>
          <w:tcPr>
            <w:tcW w:w="1320" w:type="dxa"/>
            <w:noWrap w:val="0"/>
            <w:vAlign w:val="center"/>
          </w:tcPr>
          <w:p w14:paraId="2B7DB55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9</w:t>
            </w:r>
          </w:p>
        </w:tc>
        <w:tc>
          <w:tcPr>
            <w:tcW w:w="1745" w:type="dxa"/>
            <w:vMerge w:val="restart"/>
            <w:noWrap w:val="0"/>
            <w:vAlign w:val="center"/>
          </w:tcPr>
          <w:p w14:paraId="66161963">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7776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0ECC08E">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1CC3D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63F7B6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1E0102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4B84FD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60F7D9D8">
            <w:pPr>
              <w:snapToGrid w:val="0"/>
              <w:spacing w:line="360" w:lineRule="auto"/>
              <w:jc w:val="center"/>
              <w:rPr>
                <w:rFonts w:hint="eastAsia" w:ascii="宋体" w:hAnsi="宋体" w:eastAsia="宋体" w:cs="宋体"/>
                <w:color w:val="000000"/>
                <w:sz w:val="21"/>
                <w:szCs w:val="21"/>
              </w:rPr>
            </w:pPr>
          </w:p>
        </w:tc>
      </w:tr>
      <w:tr w14:paraId="2701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E06A89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46C41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754E88C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762476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1804AA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55C9772D">
            <w:pPr>
              <w:snapToGrid w:val="0"/>
              <w:spacing w:line="360" w:lineRule="auto"/>
              <w:jc w:val="center"/>
              <w:rPr>
                <w:rFonts w:hint="eastAsia" w:ascii="宋体" w:hAnsi="宋体" w:eastAsia="宋体" w:cs="宋体"/>
                <w:color w:val="000000"/>
                <w:sz w:val="21"/>
                <w:szCs w:val="21"/>
              </w:rPr>
            </w:pPr>
          </w:p>
        </w:tc>
      </w:tr>
      <w:tr w14:paraId="207D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46ECBD6D">
            <w:pPr>
              <w:snapToGrid w:val="0"/>
              <w:spacing w:line="360" w:lineRule="auto"/>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丙、丁、戊类物品生产厂房库房和丙类液体储罐以及单罐容积不大于50m</w:t>
            </w:r>
            <w:r>
              <w:rPr>
                <w:rFonts w:hint="eastAsia" w:ascii="宋体" w:hAnsi="宋体" w:eastAsia="宋体" w:cs="宋体"/>
                <w:b/>
                <w:bCs/>
                <w:color w:val="000000"/>
                <w:spacing w:val="-6"/>
                <w:sz w:val="21"/>
                <w:szCs w:val="21"/>
                <w:vertAlign w:val="superscript"/>
              </w:rPr>
              <w:t>3</w:t>
            </w:r>
            <w:r>
              <w:rPr>
                <w:rFonts w:hint="eastAsia" w:ascii="宋体" w:hAnsi="宋体" w:eastAsia="宋体" w:cs="宋体"/>
                <w:b/>
                <w:bCs/>
                <w:color w:val="000000"/>
                <w:spacing w:val="-6"/>
                <w:sz w:val="21"/>
                <w:szCs w:val="21"/>
              </w:rPr>
              <w:t>的埋地甲、乙类液体储罐</w:t>
            </w:r>
          </w:p>
        </w:tc>
        <w:tc>
          <w:tcPr>
            <w:tcW w:w="721" w:type="dxa"/>
            <w:noWrap w:val="0"/>
            <w:vAlign w:val="center"/>
          </w:tcPr>
          <w:p w14:paraId="78AEE1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5F0AF2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12.5</w:t>
            </w:r>
          </w:p>
        </w:tc>
        <w:tc>
          <w:tcPr>
            <w:tcW w:w="901" w:type="dxa"/>
            <w:noWrap w:val="0"/>
            <w:vAlign w:val="center"/>
          </w:tcPr>
          <w:p w14:paraId="09A89D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.5</w:t>
            </w:r>
          </w:p>
        </w:tc>
        <w:tc>
          <w:tcPr>
            <w:tcW w:w="1320" w:type="dxa"/>
            <w:noWrap w:val="0"/>
            <w:vAlign w:val="center"/>
          </w:tcPr>
          <w:p w14:paraId="6C771E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.5</w:t>
            </w:r>
          </w:p>
        </w:tc>
        <w:tc>
          <w:tcPr>
            <w:tcW w:w="1745" w:type="dxa"/>
            <w:vMerge w:val="restart"/>
            <w:noWrap w:val="0"/>
            <w:vAlign w:val="center"/>
          </w:tcPr>
          <w:p w14:paraId="56A033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东南角室外变压器</w:t>
            </w:r>
          </w:p>
        </w:tc>
      </w:tr>
      <w:tr w14:paraId="1F03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00E1C428">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D729C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04BE5A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36</w:t>
            </w:r>
          </w:p>
        </w:tc>
        <w:tc>
          <w:tcPr>
            <w:tcW w:w="901" w:type="dxa"/>
            <w:noWrap w:val="0"/>
            <w:vAlign w:val="center"/>
          </w:tcPr>
          <w:p w14:paraId="2D6A10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58</w:t>
            </w:r>
          </w:p>
        </w:tc>
        <w:tc>
          <w:tcPr>
            <w:tcW w:w="1320" w:type="dxa"/>
            <w:noWrap w:val="0"/>
            <w:vAlign w:val="center"/>
          </w:tcPr>
          <w:p w14:paraId="7D03CB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58.5</w:t>
            </w:r>
          </w:p>
        </w:tc>
        <w:tc>
          <w:tcPr>
            <w:tcW w:w="1745" w:type="dxa"/>
            <w:vMerge w:val="continue"/>
            <w:noWrap w:val="0"/>
            <w:vAlign w:val="center"/>
          </w:tcPr>
          <w:p w14:paraId="31930279">
            <w:pPr>
              <w:snapToGrid w:val="0"/>
              <w:spacing w:line="360" w:lineRule="auto"/>
              <w:jc w:val="center"/>
              <w:rPr>
                <w:rFonts w:hint="eastAsia" w:ascii="宋体" w:hAnsi="宋体" w:eastAsia="宋体" w:cs="宋体"/>
                <w:color w:val="000000"/>
                <w:sz w:val="21"/>
                <w:szCs w:val="21"/>
              </w:rPr>
            </w:pPr>
          </w:p>
        </w:tc>
      </w:tr>
      <w:tr w14:paraId="4D56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3DB7159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2580590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33B5A7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791CA5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25B0A73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7ADD911F">
            <w:pPr>
              <w:snapToGrid w:val="0"/>
              <w:spacing w:line="360" w:lineRule="auto"/>
              <w:jc w:val="center"/>
              <w:rPr>
                <w:rFonts w:hint="eastAsia" w:ascii="宋体" w:hAnsi="宋体" w:eastAsia="宋体" w:cs="宋体"/>
                <w:color w:val="000000"/>
                <w:sz w:val="21"/>
                <w:szCs w:val="21"/>
              </w:rPr>
            </w:pPr>
          </w:p>
        </w:tc>
      </w:tr>
      <w:tr w14:paraId="21AF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29369BA7">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室外变配电站</w:t>
            </w:r>
          </w:p>
        </w:tc>
        <w:tc>
          <w:tcPr>
            <w:tcW w:w="721" w:type="dxa"/>
            <w:noWrap w:val="0"/>
            <w:vAlign w:val="center"/>
          </w:tcPr>
          <w:p w14:paraId="5543CE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DC29A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12.5</w:t>
            </w:r>
          </w:p>
        </w:tc>
        <w:tc>
          <w:tcPr>
            <w:tcW w:w="901" w:type="dxa"/>
            <w:noWrap w:val="0"/>
            <w:vAlign w:val="center"/>
          </w:tcPr>
          <w:p w14:paraId="2032F1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12.5</w:t>
            </w:r>
          </w:p>
        </w:tc>
        <w:tc>
          <w:tcPr>
            <w:tcW w:w="1320" w:type="dxa"/>
            <w:noWrap w:val="0"/>
            <w:vAlign w:val="center"/>
          </w:tcPr>
          <w:p w14:paraId="18A0C2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12.5</w:t>
            </w:r>
          </w:p>
        </w:tc>
        <w:tc>
          <w:tcPr>
            <w:tcW w:w="1745" w:type="dxa"/>
            <w:vMerge w:val="restart"/>
            <w:noWrap w:val="0"/>
            <w:vAlign w:val="center"/>
          </w:tcPr>
          <w:p w14:paraId="13565EB5">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无相关设施</w:t>
            </w:r>
          </w:p>
        </w:tc>
      </w:tr>
      <w:tr w14:paraId="1015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0A0C0383">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79ECE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shd w:val="clear" w:color="auto" w:fill="auto"/>
            <w:noWrap w:val="0"/>
            <w:vAlign w:val="center"/>
          </w:tcPr>
          <w:p w14:paraId="70E34E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901" w:type="dxa"/>
            <w:shd w:val="clear" w:color="auto" w:fill="auto"/>
            <w:noWrap w:val="0"/>
            <w:vAlign w:val="center"/>
          </w:tcPr>
          <w:p w14:paraId="6125B7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1320" w:type="dxa"/>
            <w:shd w:val="clear" w:color="auto" w:fill="auto"/>
            <w:noWrap w:val="0"/>
            <w:vAlign w:val="center"/>
          </w:tcPr>
          <w:p w14:paraId="2B513B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无</w:t>
            </w:r>
          </w:p>
        </w:tc>
        <w:tc>
          <w:tcPr>
            <w:tcW w:w="1745" w:type="dxa"/>
            <w:vMerge w:val="continue"/>
            <w:noWrap w:val="0"/>
            <w:vAlign w:val="center"/>
          </w:tcPr>
          <w:p w14:paraId="54606DB1">
            <w:pPr>
              <w:snapToGrid w:val="0"/>
              <w:spacing w:line="360" w:lineRule="auto"/>
              <w:jc w:val="center"/>
              <w:rPr>
                <w:rFonts w:hint="eastAsia" w:ascii="宋体" w:hAnsi="宋体" w:eastAsia="宋体" w:cs="宋体"/>
                <w:color w:val="000000"/>
                <w:sz w:val="21"/>
                <w:szCs w:val="21"/>
              </w:rPr>
            </w:pPr>
          </w:p>
        </w:tc>
      </w:tr>
      <w:tr w14:paraId="61FA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1560BB90">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69BBB7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23518B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不涉及</w:t>
            </w:r>
          </w:p>
        </w:tc>
        <w:tc>
          <w:tcPr>
            <w:tcW w:w="901" w:type="dxa"/>
            <w:noWrap w:val="0"/>
            <w:vAlign w:val="center"/>
          </w:tcPr>
          <w:p w14:paraId="04F881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2A264D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1ECD2D81">
            <w:pPr>
              <w:snapToGrid w:val="0"/>
              <w:spacing w:line="360" w:lineRule="auto"/>
              <w:jc w:val="center"/>
              <w:rPr>
                <w:rFonts w:hint="eastAsia" w:ascii="宋体" w:hAnsi="宋体" w:eastAsia="宋体" w:cs="宋体"/>
                <w:color w:val="000000"/>
                <w:sz w:val="21"/>
                <w:szCs w:val="21"/>
              </w:rPr>
            </w:pPr>
          </w:p>
        </w:tc>
      </w:tr>
      <w:tr w14:paraId="7686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40193DAF">
            <w:pPr>
              <w:snapToGrid w:val="0"/>
              <w:spacing w:line="360" w:lineRule="auto"/>
              <w:jc w:val="center"/>
              <w:rPr>
                <w:rFonts w:hint="eastAsia" w:ascii="宋体" w:hAnsi="宋体" w:eastAsia="宋体" w:cs="宋体"/>
                <w:b/>
                <w:bCs/>
                <w:color w:val="000000"/>
                <w:spacing w:val="20"/>
                <w:sz w:val="21"/>
                <w:szCs w:val="21"/>
              </w:rPr>
            </w:pPr>
            <w:r>
              <w:rPr>
                <w:rFonts w:hint="eastAsia" w:ascii="宋体" w:hAnsi="宋体" w:eastAsia="宋体" w:cs="宋体"/>
                <w:b/>
                <w:bCs/>
                <w:color w:val="000000"/>
                <w:spacing w:val="20"/>
                <w:sz w:val="21"/>
                <w:szCs w:val="21"/>
              </w:rPr>
              <w:t>铁路、地上城市轨道线路</w:t>
            </w:r>
          </w:p>
        </w:tc>
        <w:tc>
          <w:tcPr>
            <w:tcW w:w="721" w:type="dxa"/>
            <w:noWrap w:val="0"/>
            <w:vAlign w:val="center"/>
          </w:tcPr>
          <w:p w14:paraId="7F719D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20"/>
                <w:sz w:val="21"/>
                <w:szCs w:val="21"/>
              </w:rPr>
            </w:pPr>
            <w:r>
              <w:rPr>
                <w:rFonts w:hint="eastAsia" w:ascii="宋体" w:hAnsi="宋体" w:eastAsia="宋体" w:cs="宋体"/>
                <w:color w:val="000000"/>
                <w:sz w:val="21"/>
                <w:szCs w:val="21"/>
              </w:rPr>
              <w:t>规范</w:t>
            </w:r>
          </w:p>
        </w:tc>
        <w:tc>
          <w:tcPr>
            <w:tcW w:w="1981" w:type="dxa"/>
            <w:noWrap w:val="0"/>
            <w:vAlign w:val="center"/>
          </w:tcPr>
          <w:p w14:paraId="11754C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w:t>
            </w:r>
          </w:p>
        </w:tc>
        <w:tc>
          <w:tcPr>
            <w:tcW w:w="901" w:type="dxa"/>
            <w:noWrap w:val="0"/>
            <w:vAlign w:val="center"/>
          </w:tcPr>
          <w:p w14:paraId="0ABFF7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w:t>
            </w:r>
          </w:p>
        </w:tc>
        <w:tc>
          <w:tcPr>
            <w:tcW w:w="1320" w:type="dxa"/>
            <w:noWrap w:val="0"/>
            <w:vAlign w:val="center"/>
          </w:tcPr>
          <w:p w14:paraId="49C85C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w:t>
            </w:r>
          </w:p>
        </w:tc>
        <w:tc>
          <w:tcPr>
            <w:tcW w:w="1745" w:type="dxa"/>
            <w:vMerge w:val="restart"/>
            <w:noWrap w:val="0"/>
            <w:vAlign w:val="center"/>
          </w:tcPr>
          <w:p w14:paraId="6160EF7D">
            <w:pPr>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无铁路</w:t>
            </w:r>
          </w:p>
        </w:tc>
      </w:tr>
      <w:tr w14:paraId="5EBC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49D51551">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7E181A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7178783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7B290B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621E6C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19E55A44">
            <w:pPr>
              <w:snapToGrid w:val="0"/>
              <w:spacing w:line="360" w:lineRule="auto"/>
              <w:jc w:val="center"/>
              <w:rPr>
                <w:rFonts w:hint="eastAsia" w:ascii="宋体" w:hAnsi="宋体" w:eastAsia="宋体" w:cs="宋体"/>
                <w:color w:val="000000"/>
                <w:sz w:val="21"/>
                <w:szCs w:val="21"/>
              </w:rPr>
            </w:pPr>
          </w:p>
        </w:tc>
      </w:tr>
      <w:tr w14:paraId="7711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59541A0B">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3785D0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298707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2B7E81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494A41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10D99BC1">
            <w:pPr>
              <w:snapToGrid w:val="0"/>
              <w:spacing w:line="360" w:lineRule="auto"/>
              <w:jc w:val="center"/>
              <w:rPr>
                <w:rFonts w:hint="eastAsia" w:ascii="宋体" w:hAnsi="宋体" w:eastAsia="宋体" w:cs="宋体"/>
                <w:color w:val="000000"/>
                <w:sz w:val="21"/>
                <w:szCs w:val="21"/>
              </w:rPr>
            </w:pPr>
          </w:p>
        </w:tc>
      </w:tr>
      <w:tr w14:paraId="08DE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3BB1B148">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城市快速路、主干路和高速公路、一级公路、二级公路</w:t>
            </w:r>
          </w:p>
        </w:tc>
        <w:tc>
          <w:tcPr>
            <w:tcW w:w="721" w:type="dxa"/>
            <w:noWrap w:val="0"/>
            <w:vAlign w:val="center"/>
          </w:tcPr>
          <w:p w14:paraId="10C369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0948CC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901" w:type="dxa"/>
            <w:noWrap w:val="0"/>
            <w:vAlign w:val="center"/>
          </w:tcPr>
          <w:p w14:paraId="56B658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1320" w:type="dxa"/>
            <w:noWrap w:val="0"/>
            <w:vAlign w:val="center"/>
          </w:tcPr>
          <w:p w14:paraId="035706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1745" w:type="dxa"/>
            <w:vMerge w:val="restart"/>
            <w:noWrap w:val="0"/>
            <w:vAlign w:val="center"/>
          </w:tcPr>
          <w:p w14:paraId="3DD39D0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西面剑兰公路</w:t>
            </w:r>
          </w:p>
        </w:tc>
      </w:tr>
      <w:tr w14:paraId="756A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4F413E55">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343BD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48FE2D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53.4</w:t>
            </w:r>
          </w:p>
        </w:tc>
        <w:tc>
          <w:tcPr>
            <w:tcW w:w="901" w:type="dxa"/>
            <w:noWrap w:val="0"/>
            <w:vAlign w:val="center"/>
          </w:tcPr>
          <w:p w14:paraId="7072C8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11.8</w:t>
            </w:r>
          </w:p>
        </w:tc>
        <w:tc>
          <w:tcPr>
            <w:tcW w:w="1320" w:type="dxa"/>
            <w:noWrap w:val="0"/>
            <w:vAlign w:val="center"/>
          </w:tcPr>
          <w:p w14:paraId="6CE3B29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23.8</w:t>
            </w:r>
          </w:p>
        </w:tc>
        <w:tc>
          <w:tcPr>
            <w:tcW w:w="1745" w:type="dxa"/>
            <w:vMerge w:val="continue"/>
            <w:noWrap w:val="0"/>
            <w:vAlign w:val="center"/>
          </w:tcPr>
          <w:p w14:paraId="6022C0A4">
            <w:pPr>
              <w:snapToGrid w:val="0"/>
              <w:spacing w:line="360" w:lineRule="auto"/>
              <w:jc w:val="center"/>
              <w:rPr>
                <w:rFonts w:hint="eastAsia" w:ascii="宋体" w:hAnsi="宋体" w:eastAsia="宋体" w:cs="宋体"/>
                <w:color w:val="000000"/>
                <w:sz w:val="21"/>
                <w:szCs w:val="21"/>
              </w:rPr>
            </w:pPr>
          </w:p>
        </w:tc>
      </w:tr>
      <w:tr w14:paraId="341F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332A5A62">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F891B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144475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2F9384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6152538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7FED412D">
            <w:pPr>
              <w:snapToGrid w:val="0"/>
              <w:spacing w:line="360" w:lineRule="auto"/>
              <w:jc w:val="center"/>
              <w:rPr>
                <w:rFonts w:hint="eastAsia" w:ascii="宋体" w:hAnsi="宋体" w:eastAsia="宋体" w:cs="宋体"/>
                <w:color w:val="000000"/>
                <w:sz w:val="21"/>
                <w:szCs w:val="21"/>
              </w:rPr>
            </w:pPr>
          </w:p>
        </w:tc>
      </w:tr>
      <w:tr w14:paraId="164B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50B27275">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城市次干路、支路和三级公路、四级公路</w:t>
            </w:r>
          </w:p>
        </w:tc>
        <w:tc>
          <w:tcPr>
            <w:tcW w:w="721" w:type="dxa"/>
            <w:noWrap w:val="0"/>
            <w:vAlign w:val="center"/>
          </w:tcPr>
          <w:p w14:paraId="1F4215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120A8A2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901" w:type="dxa"/>
            <w:noWrap w:val="0"/>
            <w:vAlign w:val="center"/>
          </w:tcPr>
          <w:p w14:paraId="31D192C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1320" w:type="dxa"/>
            <w:noWrap w:val="0"/>
            <w:vAlign w:val="center"/>
          </w:tcPr>
          <w:p w14:paraId="1C1772B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p>
        </w:tc>
        <w:tc>
          <w:tcPr>
            <w:tcW w:w="1745" w:type="dxa"/>
            <w:vMerge w:val="restart"/>
            <w:noWrap w:val="0"/>
            <w:vAlign w:val="center"/>
          </w:tcPr>
          <w:p w14:paraId="0C66B3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南面村道</w:t>
            </w:r>
          </w:p>
        </w:tc>
      </w:tr>
      <w:tr w14:paraId="46C9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3AC1C28">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1F2DCB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4F5248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32</w:t>
            </w:r>
          </w:p>
        </w:tc>
        <w:tc>
          <w:tcPr>
            <w:tcW w:w="901" w:type="dxa"/>
            <w:noWrap w:val="0"/>
            <w:vAlign w:val="center"/>
          </w:tcPr>
          <w:p w14:paraId="5D95B8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14</w:t>
            </w:r>
          </w:p>
        </w:tc>
        <w:tc>
          <w:tcPr>
            <w:tcW w:w="1320" w:type="dxa"/>
            <w:noWrap w:val="0"/>
            <w:vAlign w:val="center"/>
          </w:tcPr>
          <w:p w14:paraId="03D5E0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15</w:t>
            </w:r>
          </w:p>
        </w:tc>
        <w:tc>
          <w:tcPr>
            <w:tcW w:w="1745" w:type="dxa"/>
            <w:vMerge w:val="continue"/>
            <w:noWrap w:val="0"/>
            <w:vAlign w:val="center"/>
          </w:tcPr>
          <w:p w14:paraId="321E85B4">
            <w:pPr>
              <w:snapToGrid w:val="0"/>
              <w:spacing w:line="360" w:lineRule="auto"/>
              <w:jc w:val="center"/>
              <w:rPr>
                <w:rFonts w:hint="eastAsia" w:ascii="宋体" w:hAnsi="宋体" w:eastAsia="宋体" w:cs="宋体"/>
                <w:color w:val="000000"/>
                <w:sz w:val="21"/>
                <w:szCs w:val="21"/>
              </w:rPr>
            </w:pPr>
          </w:p>
        </w:tc>
      </w:tr>
      <w:tr w14:paraId="4313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461094DE">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646210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1B938C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398217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001D96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5CB6A0FD">
            <w:pPr>
              <w:snapToGrid w:val="0"/>
              <w:spacing w:line="360" w:lineRule="auto"/>
              <w:jc w:val="center"/>
              <w:rPr>
                <w:rFonts w:hint="eastAsia" w:ascii="宋体" w:hAnsi="宋体" w:eastAsia="宋体" w:cs="宋体"/>
                <w:color w:val="000000"/>
                <w:sz w:val="21"/>
                <w:szCs w:val="21"/>
              </w:rPr>
            </w:pPr>
          </w:p>
        </w:tc>
      </w:tr>
      <w:tr w14:paraId="7D50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restart"/>
            <w:noWrap w:val="0"/>
            <w:vAlign w:val="center"/>
          </w:tcPr>
          <w:p w14:paraId="1E2EBABE">
            <w:pPr>
              <w:snapToGrid w:val="0"/>
              <w:spacing w:line="360" w:lineRule="auto"/>
              <w:jc w:val="center"/>
              <w:rPr>
                <w:rFonts w:hint="eastAsia" w:ascii="宋体" w:hAnsi="宋体" w:eastAsia="宋体" w:cs="宋体"/>
                <w:b/>
                <w:bCs/>
                <w:color w:val="000000"/>
                <w:spacing w:val="-6"/>
                <w:sz w:val="21"/>
                <w:szCs w:val="21"/>
              </w:rPr>
            </w:pPr>
            <w:r>
              <w:rPr>
                <w:rFonts w:hint="eastAsia" w:ascii="宋体" w:hAnsi="宋体" w:eastAsia="宋体" w:cs="宋体"/>
                <w:b/>
                <w:bCs/>
                <w:color w:val="000000"/>
                <w:spacing w:val="-6"/>
                <w:sz w:val="21"/>
                <w:szCs w:val="21"/>
              </w:rPr>
              <w:t>架空通信线</w:t>
            </w:r>
          </w:p>
        </w:tc>
        <w:tc>
          <w:tcPr>
            <w:tcW w:w="721" w:type="dxa"/>
            <w:noWrap w:val="0"/>
            <w:vAlign w:val="center"/>
          </w:tcPr>
          <w:p w14:paraId="262D05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6"/>
                <w:sz w:val="21"/>
                <w:szCs w:val="21"/>
              </w:rPr>
            </w:pPr>
            <w:r>
              <w:rPr>
                <w:rFonts w:hint="eastAsia" w:ascii="宋体" w:hAnsi="宋体" w:eastAsia="宋体" w:cs="宋体"/>
                <w:color w:val="000000"/>
                <w:sz w:val="21"/>
                <w:szCs w:val="21"/>
              </w:rPr>
              <w:t>规范</w:t>
            </w:r>
          </w:p>
        </w:tc>
        <w:tc>
          <w:tcPr>
            <w:tcW w:w="1981" w:type="dxa"/>
            <w:noWrap w:val="0"/>
            <w:vAlign w:val="center"/>
          </w:tcPr>
          <w:p w14:paraId="2BF63C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901" w:type="dxa"/>
            <w:noWrap w:val="0"/>
            <w:vAlign w:val="center"/>
          </w:tcPr>
          <w:p w14:paraId="0E3D67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5</w:t>
            </w:r>
          </w:p>
        </w:tc>
        <w:tc>
          <w:tcPr>
            <w:tcW w:w="1320" w:type="dxa"/>
            <w:noWrap w:val="0"/>
            <w:vAlign w:val="center"/>
          </w:tcPr>
          <w:p w14:paraId="182338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5</w:t>
            </w:r>
          </w:p>
        </w:tc>
        <w:tc>
          <w:tcPr>
            <w:tcW w:w="1745" w:type="dxa"/>
            <w:vMerge w:val="restart"/>
            <w:noWrap w:val="0"/>
            <w:vAlign w:val="center"/>
          </w:tcPr>
          <w:p w14:paraId="032EEAFC">
            <w:pPr>
              <w:snapToGrid w:val="0"/>
              <w:spacing w:line="360" w:lineRule="auto"/>
              <w:jc w:val="center"/>
              <w:rPr>
                <w:rFonts w:hint="eastAsia" w:ascii="宋体" w:hAnsi="宋体" w:eastAsia="宋体" w:cs="宋体"/>
                <w:color w:val="000000"/>
                <w:spacing w:val="10"/>
                <w:sz w:val="21"/>
                <w:szCs w:val="21"/>
              </w:rPr>
            </w:pPr>
            <w:r>
              <w:rPr>
                <w:rFonts w:hint="eastAsia" w:ascii="宋体" w:hAnsi="宋体" w:eastAsia="宋体" w:cs="宋体"/>
                <w:color w:val="000000"/>
                <w:spacing w:val="-6"/>
                <w:sz w:val="21"/>
                <w:szCs w:val="21"/>
              </w:rPr>
              <w:t>无相关设施</w:t>
            </w:r>
          </w:p>
        </w:tc>
      </w:tr>
      <w:tr w14:paraId="1424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7088E5D2">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0D5316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74023A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901" w:type="dxa"/>
            <w:noWrap w:val="0"/>
            <w:vAlign w:val="center"/>
          </w:tcPr>
          <w:p w14:paraId="4D66376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320" w:type="dxa"/>
            <w:noWrap w:val="0"/>
            <w:vAlign w:val="center"/>
          </w:tcPr>
          <w:p w14:paraId="01C455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无</w:t>
            </w:r>
          </w:p>
        </w:tc>
        <w:tc>
          <w:tcPr>
            <w:tcW w:w="1745" w:type="dxa"/>
            <w:vMerge w:val="continue"/>
            <w:noWrap w:val="0"/>
            <w:vAlign w:val="center"/>
          </w:tcPr>
          <w:p w14:paraId="469734B4">
            <w:pPr>
              <w:snapToGrid w:val="0"/>
              <w:spacing w:line="360" w:lineRule="auto"/>
              <w:jc w:val="center"/>
              <w:rPr>
                <w:rFonts w:hint="eastAsia" w:ascii="宋体" w:hAnsi="宋体" w:eastAsia="宋体" w:cs="宋体"/>
                <w:color w:val="000000"/>
                <w:sz w:val="21"/>
                <w:szCs w:val="21"/>
              </w:rPr>
            </w:pPr>
          </w:p>
        </w:tc>
      </w:tr>
      <w:tr w14:paraId="485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2522" w:type="dxa"/>
            <w:gridSpan w:val="3"/>
            <w:vMerge w:val="continue"/>
            <w:noWrap w:val="0"/>
            <w:vAlign w:val="center"/>
          </w:tcPr>
          <w:p w14:paraId="264F14AC">
            <w:pPr>
              <w:snapToGrid w:val="0"/>
              <w:spacing w:line="360" w:lineRule="auto"/>
              <w:jc w:val="center"/>
              <w:rPr>
                <w:rFonts w:hint="eastAsia" w:ascii="宋体" w:hAnsi="宋体" w:eastAsia="宋体" w:cs="宋体"/>
                <w:b/>
                <w:bCs/>
                <w:color w:val="000000"/>
                <w:sz w:val="21"/>
                <w:szCs w:val="21"/>
              </w:rPr>
            </w:pPr>
          </w:p>
        </w:tc>
        <w:tc>
          <w:tcPr>
            <w:tcW w:w="721" w:type="dxa"/>
            <w:noWrap w:val="0"/>
            <w:vAlign w:val="center"/>
          </w:tcPr>
          <w:p w14:paraId="38FCEB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70CBE0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2A354D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087448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1B69C6D4">
            <w:pPr>
              <w:snapToGrid w:val="0"/>
              <w:spacing w:line="360" w:lineRule="auto"/>
              <w:jc w:val="center"/>
              <w:rPr>
                <w:rFonts w:hint="eastAsia" w:ascii="宋体" w:hAnsi="宋体" w:eastAsia="宋体" w:cs="宋体"/>
                <w:color w:val="000000"/>
                <w:sz w:val="21"/>
                <w:szCs w:val="21"/>
              </w:rPr>
            </w:pPr>
          </w:p>
        </w:tc>
      </w:tr>
      <w:tr w14:paraId="1128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restart"/>
            <w:noWrap w:val="0"/>
            <w:vAlign w:val="center"/>
          </w:tcPr>
          <w:p w14:paraId="315942E9">
            <w:pPr>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架空电力线路</w:t>
            </w:r>
          </w:p>
        </w:tc>
        <w:tc>
          <w:tcPr>
            <w:tcW w:w="1786" w:type="dxa"/>
            <w:vMerge w:val="restart"/>
            <w:noWrap w:val="0"/>
            <w:vAlign w:val="center"/>
          </w:tcPr>
          <w:p w14:paraId="21E15A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无绝缘层</w:t>
            </w:r>
          </w:p>
        </w:tc>
        <w:tc>
          <w:tcPr>
            <w:tcW w:w="721" w:type="dxa"/>
            <w:noWrap w:val="0"/>
            <w:vAlign w:val="center"/>
          </w:tcPr>
          <w:p w14:paraId="317E35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4703A4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0.75</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t>6.5m</w:t>
            </w:r>
          </w:p>
        </w:tc>
        <w:tc>
          <w:tcPr>
            <w:tcW w:w="901" w:type="dxa"/>
            <w:noWrap w:val="0"/>
            <w:vAlign w:val="center"/>
          </w:tcPr>
          <w:p w14:paraId="28C1A6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6.5</w:t>
            </w:r>
          </w:p>
        </w:tc>
        <w:tc>
          <w:tcPr>
            <w:tcW w:w="1320" w:type="dxa"/>
            <w:noWrap w:val="0"/>
            <w:vAlign w:val="center"/>
          </w:tcPr>
          <w:p w14:paraId="024C7E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6.5</w:t>
            </w:r>
          </w:p>
        </w:tc>
        <w:tc>
          <w:tcPr>
            <w:tcW w:w="1745" w:type="dxa"/>
            <w:vMerge w:val="restart"/>
            <w:noWrap w:val="0"/>
            <w:vAlign w:val="center"/>
          </w:tcPr>
          <w:p w14:paraId="45974DF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pacing w:val="-6"/>
                <w:sz w:val="21"/>
                <w:szCs w:val="21"/>
              </w:rPr>
              <w:t>无相关设施</w:t>
            </w:r>
          </w:p>
        </w:tc>
      </w:tr>
      <w:tr w14:paraId="4DD0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6EB8EE94">
            <w:pPr>
              <w:snapToGrid w:val="0"/>
              <w:spacing w:line="360" w:lineRule="auto"/>
              <w:jc w:val="center"/>
              <w:rPr>
                <w:rFonts w:hint="eastAsia" w:ascii="宋体" w:hAnsi="宋体" w:eastAsia="宋体" w:cs="宋体"/>
                <w:b/>
                <w:bCs/>
                <w:color w:val="000000"/>
                <w:sz w:val="21"/>
                <w:szCs w:val="21"/>
              </w:rPr>
            </w:pPr>
          </w:p>
        </w:tc>
        <w:tc>
          <w:tcPr>
            <w:tcW w:w="1786" w:type="dxa"/>
            <w:vMerge w:val="continue"/>
            <w:noWrap w:val="0"/>
            <w:vAlign w:val="center"/>
          </w:tcPr>
          <w:p w14:paraId="66F6DEAF">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eastAsia" w:ascii="宋体" w:hAnsi="宋体" w:eastAsia="宋体" w:cs="宋体"/>
                <w:b/>
                <w:bCs/>
                <w:color w:val="000000"/>
                <w:sz w:val="21"/>
                <w:szCs w:val="21"/>
              </w:rPr>
            </w:pPr>
          </w:p>
        </w:tc>
        <w:tc>
          <w:tcPr>
            <w:tcW w:w="721" w:type="dxa"/>
            <w:noWrap w:val="0"/>
            <w:vAlign w:val="center"/>
          </w:tcPr>
          <w:p w14:paraId="499DCF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sz w:val="21"/>
                <w:szCs w:val="21"/>
              </w:rPr>
              <w:t>实测</w:t>
            </w:r>
          </w:p>
        </w:tc>
        <w:tc>
          <w:tcPr>
            <w:tcW w:w="1981" w:type="dxa"/>
            <w:noWrap w:val="0"/>
            <w:vAlign w:val="center"/>
          </w:tcPr>
          <w:p w14:paraId="49351C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901" w:type="dxa"/>
            <w:noWrap w:val="0"/>
            <w:vAlign w:val="center"/>
          </w:tcPr>
          <w:p w14:paraId="3F64D0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1320" w:type="dxa"/>
            <w:noWrap w:val="0"/>
            <w:vAlign w:val="center"/>
          </w:tcPr>
          <w:p w14:paraId="67A782C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无</w:t>
            </w:r>
          </w:p>
        </w:tc>
        <w:tc>
          <w:tcPr>
            <w:tcW w:w="1745" w:type="dxa"/>
            <w:vMerge w:val="continue"/>
            <w:noWrap w:val="0"/>
            <w:vAlign w:val="center"/>
          </w:tcPr>
          <w:p w14:paraId="61815188">
            <w:pPr>
              <w:snapToGrid w:val="0"/>
              <w:spacing w:line="360" w:lineRule="auto"/>
              <w:rPr>
                <w:rFonts w:hint="eastAsia" w:ascii="宋体" w:hAnsi="宋体" w:eastAsia="宋体" w:cs="宋体"/>
                <w:sz w:val="21"/>
                <w:szCs w:val="21"/>
              </w:rPr>
            </w:pPr>
          </w:p>
        </w:tc>
      </w:tr>
      <w:tr w14:paraId="52D4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3B99A7B2">
            <w:pPr>
              <w:snapToGrid w:val="0"/>
              <w:spacing w:line="360" w:lineRule="auto"/>
              <w:jc w:val="center"/>
              <w:rPr>
                <w:rFonts w:hint="eastAsia" w:ascii="宋体" w:hAnsi="宋体" w:eastAsia="宋体" w:cs="宋体"/>
                <w:b/>
                <w:bCs/>
                <w:color w:val="000000"/>
                <w:sz w:val="21"/>
                <w:szCs w:val="21"/>
              </w:rPr>
            </w:pPr>
          </w:p>
        </w:tc>
        <w:tc>
          <w:tcPr>
            <w:tcW w:w="1786" w:type="dxa"/>
            <w:vMerge w:val="continue"/>
            <w:noWrap w:val="0"/>
            <w:vAlign w:val="center"/>
          </w:tcPr>
          <w:p w14:paraId="7C2011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p>
        </w:tc>
        <w:tc>
          <w:tcPr>
            <w:tcW w:w="721" w:type="dxa"/>
            <w:noWrap w:val="0"/>
            <w:vAlign w:val="center"/>
          </w:tcPr>
          <w:p w14:paraId="47C917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71B34C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901" w:type="dxa"/>
            <w:noWrap w:val="0"/>
            <w:vAlign w:val="center"/>
          </w:tcPr>
          <w:p w14:paraId="686333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320" w:type="dxa"/>
            <w:noWrap w:val="0"/>
            <w:vAlign w:val="center"/>
          </w:tcPr>
          <w:p w14:paraId="239693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不涉及</w:t>
            </w:r>
          </w:p>
        </w:tc>
        <w:tc>
          <w:tcPr>
            <w:tcW w:w="1745" w:type="dxa"/>
            <w:vMerge w:val="continue"/>
            <w:noWrap w:val="0"/>
            <w:vAlign w:val="center"/>
          </w:tcPr>
          <w:p w14:paraId="0691E9E9">
            <w:pPr>
              <w:snapToGrid w:val="0"/>
              <w:spacing w:line="360" w:lineRule="auto"/>
              <w:jc w:val="center"/>
              <w:rPr>
                <w:rFonts w:hint="eastAsia" w:ascii="宋体" w:hAnsi="宋体" w:eastAsia="宋体" w:cs="宋体"/>
                <w:color w:val="000000"/>
                <w:sz w:val="21"/>
                <w:szCs w:val="21"/>
              </w:rPr>
            </w:pPr>
          </w:p>
        </w:tc>
      </w:tr>
      <w:tr w14:paraId="0D9C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1AF43D92">
            <w:pPr>
              <w:snapToGrid w:val="0"/>
              <w:spacing w:line="360" w:lineRule="auto"/>
              <w:jc w:val="center"/>
              <w:rPr>
                <w:rFonts w:hint="eastAsia" w:ascii="宋体" w:hAnsi="宋体" w:eastAsia="宋体" w:cs="宋体"/>
                <w:b/>
                <w:bCs/>
                <w:color w:val="000000"/>
                <w:sz w:val="21"/>
                <w:szCs w:val="21"/>
              </w:rPr>
            </w:pPr>
          </w:p>
        </w:tc>
        <w:tc>
          <w:tcPr>
            <w:tcW w:w="1786" w:type="dxa"/>
            <w:vMerge w:val="restart"/>
            <w:noWrap w:val="0"/>
            <w:vAlign w:val="center"/>
          </w:tcPr>
          <w:p w14:paraId="259953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31298C7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noWrap w:val="0"/>
            <w:vAlign w:val="center"/>
          </w:tcPr>
          <w:p w14:paraId="59A44B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 xml:space="preserve">0.5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45CD79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6090C8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5ACC83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北面</w:t>
            </w:r>
            <w:r>
              <w:rPr>
                <w:rFonts w:hint="eastAsia" w:ascii="宋体" w:hAnsi="宋体" w:eastAsia="宋体" w:cs="宋体"/>
                <w:color w:val="000000"/>
                <w:spacing w:val="-6"/>
                <w:sz w:val="21"/>
                <w:szCs w:val="21"/>
              </w:rPr>
              <w:t>架空电力线（杆高 11m）</w:t>
            </w:r>
          </w:p>
        </w:tc>
      </w:tr>
      <w:tr w14:paraId="3524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76EA02A6">
            <w:pPr>
              <w:snapToGrid w:val="0"/>
              <w:spacing w:line="360" w:lineRule="auto"/>
              <w:jc w:val="center"/>
              <w:rPr>
                <w:rFonts w:hint="eastAsia" w:ascii="宋体" w:hAnsi="宋体" w:eastAsia="宋体" w:cs="宋体"/>
                <w:color w:val="000000"/>
                <w:sz w:val="21"/>
                <w:szCs w:val="21"/>
              </w:rPr>
            </w:pPr>
          </w:p>
        </w:tc>
        <w:tc>
          <w:tcPr>
            <w:tcW w:w="1786" w:type="dxa"/>
            <w:vMerge w:val="continue"/>
            <w:noWrap w:val="0"/>
            <w:vAlign w:val="center"/>
          </w:tcPr>
          <w:p w14:paraId="2C2A6AB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7E6B7F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5FB039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901" w:type="dxa"/>
            <w:noWrap w:val="0"/>
            <w:vAlign w:val="center"/>
          </w:tcPr>
          <w:p w14:paraId="71764D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31.5</w:t>
            </w:r>
          </w:p>
        </w:tc>
        <w:tc>
          <w:tcPr>
            <w:tcW w:w="1320" w:type="dxa"/>
            <w:noWrap w:val="0"/>
            <w:vAlign w:val="center"/>
          </w:tcPr>
          <w:p w14:paraId="47F835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31.3</w:t>
            </w:r>
          </w:p>
        </w:tc>
        <w:tc>
          <w:tcPr>
            <w:tcW w:w="1745" w:type="dxa"/>
            <w:vMerge w:val="continue"/>
            <w:noWrap w:val="0"/>
            <w:vAlign w:val="center"/>
          </w:tcPr>
          <w:p w14:paraId="3F19B142">
            <w:pPr>
              <w:snapToGrid w:val="0"/>
              <w:spacing w:line="360" w:lineRule="auto"/>
              <w:jc w:val="center"/>
              <w:rPr>
                <w:rFonts w:hint="eastAsia" w:ascii="宋体" w:hAnsi="宋体" w:eastAsia="宋体" w:cs="宋体"/>
                <w:color w:val="000000"/>
                <w:sz w:val="21"/>
                <w:szCs w:val="21"/>
              </w:rPr>
            </w:pPr>
          </w:p>
        </w:tc>
      </w:tr>
      <w:tr w14:paraId="79BD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0" w:hRule="atLeast"/>
          <w:jc w:val="center"/>
        </w:trPr>
        <w:tc>
          <w:tcPr>
            <w:tcW w:w="736" w:type="dxa"/>
            <w:gridSpan w:val="2"/>
            <w:vMerge w:val="continue"/>
            <w:noWrap w:val="0"/>
            <w:vAlign w:val="center"/>
          </w:tcPr>
          <w:p w14:paraId="66752D1E">
            <w:pPr>
              <w:snapToGrid w:val="0"/>
              <w:spacing w:line="360" w:lineRule="auto"/>
              <w:jc w:val="center"/>
              <w:rPr>
                <w:rFonts w:hint="eastAsia" w:ascii="宋体" w:hAnsi="宋体" w:eastAsia="宋体" w:cs="宋体"/>
                <w:color w:val="000000"/>
                <w:sz w:val="21"/>
                <w:szCs w:val="21"/>
              </w:rPr>
            </w:pPr>
          </w:p>
        </w:tc>
        <w:tc>
          <w:tcPr>
            <w:tcW w:w="1786" w:type="dxa"/>
            <w:vMerge w:val="continue"/>
            <w:noWrap w:val="0"/>
            <w:vAlign w:val="center"/>
          </w:tcPr>
          <w:p w14:paraId="672E42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58F8199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noWrap w:val="0"/>
            <w:vAlign w:val="center"/>
          </w:tcPr>
          <w:p w14:paraId="03AB1E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901" w:type="dxa"/>
            <w:noWrap w:val="0"/>
            <w:vAlign w:val="center"/>
          </w:tcPr>
          <w:p w14:paraId="01FCE2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320" w:type="dxa"/>
            <w:noWrap w:val="0"/>
            <w:vAlign w:val="center"/>
          </w:tcPr>
          <w:p w14:paraId="75BD93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符合</w:t>
            </w:r>
          </w:p>
        </w:tc>
        <w:tc>
          <w:tcPr>
            <w:tcW w:w="1745" w:type="dxa"/>
            <w:vMerge w:val="continue"/>
            <w:noWrap w:val="0"/>
            <w:vAlign w:val="center"/>
          </w:tcPr>
          <w:p w14:paraId="4235650F">
            <w:pPr>
              <w:snapToGrid w:val="0"/>
              <w:spacing w:line="360" w:lineRule="auto"/>
              <w:jc w:val="center"/>
              <w:rPr>
                <w:rFonts w:hint="eastAsia" w:ascii="宋体" w:hAnsi="宋体" w:eastAsia="宋体" w:cs="宋体"/>
                <w:color w:val="000000"/>
                <w:sz w:val="21"/>
                <w:szCs w:val="21"/>
              </w:rPr>
            </w:pPr>
          </w:p>
        </w:tc>
      </w:tr>
      <w:tr w14:paraId="1F5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0BEB007B">
            <w:pPr>
              <w:snapToGrid w:val="0"/>
              <w:spacing w:line="360" w:lineRule="auto"/>
              <w:jc w:val="center"/>
              <w:rPr>
                <w:rFonts w:hint="eastAsia" w:ascii="宋体" w:hAnsi="宋体" w:eastAsia="宋体" w:cs="宋体"/>
                <w:color w:val="000000"/>
                <w:sz w:val="21"/>
                <w:szCs w:val="21"/>
              </w:rPr>
            </w:pPr>
          </w:p>
        </w:tc>
        <w:tc>
          <w:tcPr>
            <w:tcW w:w="1786" w:type="dxa"/>
            <w:vMerge w:val="restart"/>
            <w:noWrap w:val="0"/>
            <w:vAlign w:val="center"/>
          </w:tcPr>
          <w:p w14:paraId="0CE675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4ACEFE4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4F7528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 xml:space="preserve">0.5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7C6FE20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49ECCD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71DE4B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西面</w:t>
            </w:r>
            <w:r>
              <w:rPr>
                <w:rFonts w:hint="eastAsia" w:ascii="宋体" w:hAnsi="宋体" w:eastAsia="宋体" w:cs="宋体"/>
                <w:color w:val="000000"/>
                <w:spacing w:val="-6"/>
                <w:sz w:val="21"/>
                <w:szCs w:val="21"/>
              </w:rPr>
              <w:t>架空电力线（杆高 11m）</w:t>
            </w:r>
          </w:p>
        </w:tc>
      </w:tr>
      <w:tr w14:paraId="6DE3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421DF9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1786" w:type="dxa"/>
            <w:vMerge w:val="continue"/>
            <w:noWrap w:val="0"/>
            <w:vAlign w:val="center"/>
          </w:tcPr>
          <w:p w14:paraId="2C0242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721" w:type="dxa"/>
            <w:noWrap w:val="0"/>
            <w:vAlign w:val="center"/>
          </w:tcPr>
          <w:p w14:paraId="46171E1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35E213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53.4</w:t>
            </w:r>
          </w:p>
        </w:tc>
        <w:tc>
          <w:tcPr>
            <w:tcW w:w="901" w:type="dxa"/>
            <w:noWrap w:val="0"/>
            <w:vAlign w:val="center"/>
          </w:tcPr>
          <w:p w14:paraId="24F628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11.8</w:t>
            </w:r>
          </w:p>
        </w:tc>
        <w:tc>
          <w:tcPr>
            <w:tcW w:w="1320" w:type="dxa"/>
            <w:noWrap w:val="0"/>
            <w:vAlign w:val="center"/>
          </w:tcPr>
          <w:p w14:paraId="68AA048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23.8</w:t>
            </w:r>
          </w:p>
        </w:tc>
        <w:tc>
          <w:tcPr>
            <w:tcW w:w="1745" w:type="dxa"/>
            <w:vMerge w:val="continue"/>
            <w:noWrap w:val="0"/>
            <w:vAlign w:val="center"/>
          </w:tcPr>
          <w:p w14:paraId="2110E6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6C9E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 w:hRule="atLeast"/>
          <w:jc w:val="center"/>
        </w:trPr>
        <w:tc>
          <w:tcPr>
            <w:tcW w:w="736" w:type="dxa"/>
            <w:gridSpan w:val="2"/>
            <w:vMerge w:val="continue"/>
            <w:noWrap w:val="0"/>
            <w:vAlign w:val="center"/>
          </w:tcPr>
          <w:p w14:paraId="36C143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1786" w:type="dxa"/>
            <w:vMerge w:val="continue"/>
            <w:noWrap w:val="0"/>
            <w:vAlign w:val="center"/>
          </w:tcPr>
          <w:p w14:paraId="03C941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091DED1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shd w:val="clear" w:color="auto" w:fill="auto"/>
            <w:noWrap w:val="0"/>
            <w:vAlign w:val="center"/>
          </w:tcPr>
          <w:p w14:paraId="641CD2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901" w:type="dxa"/>
            <w:shd w:val="clear" w:color="auto" w:fill="auto"/>
            <w:noWrap w:val="0"/>
            <w:vAlign w:val="center"/>
          </w:tcPr>
          <w:p w14:paraId="5FD0B31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320" w:type="dxa"/>
            <w:shd w:val="clear" w:color="auto" w:fill="auto"/>
            <w:noWrap w:val="0"/>
            <w:vAlign w:val="center"/>
          </w:tcPr>
          <w:p w14:paraId="47CF84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745" w:type="dxa"/>
            <w:vMerge w:val="continue"/>
            <w:noWrap w:val="0"/>
            <w:vAlign w:val="center"/>
          </w:tcPr>
          <w:p w14:paraId="70EFB4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1CFA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4118DC60">
            <w:pPr>
              <w:snapToGrid w:val="0"/>
              <w:spacing w:line="360" w:lineRule="auto"/>
              <w:jc w:val="center"/>
              <w:rPr>
                <w:rFonts w:hint="eastAsia" w:ascii="宋体" w:hAnsi="宋体" w:eastAsia="宋体" w:cs="宋体"/>
                <w:color w:val="000000"/>
                <w:sz w:val="21"/>
                <w:szCs w:val="21"/>
              </w:rPr>
            </w:pPr>
          </w:p>
        </w:tc>
        <w:tc>
          <w:tcPr>
            <w:tcW w:w="1786" w:type="dxa"/>
            <w:vMerge w:val="restart"/>
            <w:noWrap w:val="0"/>
            <w:vAlign w:val="center"/>
          </w:tcPr>
          <w:p w14:paraId="5C5A7B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有绝缘层</w:t>
            </w:r>
          </w:p>
        </w:tc>
        <w:tc>
          <w:tcPr>
            <w:tcW w:w="721" w:type="dxa"/>
            <w:noWrap w:val="0"/>
            <w:vAlign w:val="center"/>
          </w:tcPr>
          <w:p w14:paraId="6D3304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规范</w:t>
            </w:r>
          </w:p>
        </w:tc>
        <w:tc>
          <w:tcPr>
            <w:tcW w:w="1981" w:type="dxa"/>
            <w:shd w:val="clear" w:color="auto" w:fill="auto"/>
            <w:noWrap w:val="0"/>
            <w:vAlign w:val="center"/>
          </w:tcPr>
          <w:p w14:paraId="49DA1D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 xml:space="preserve">0.5 </w:t>
            </w:r>
            <w:r>
              <w:rPr>
                <w:rFonts w:hint="eastAsia" w:ascii="宋体" w:hAnsi="宋体" w:eastAsia="宋体" w:cs="宋体"/>
                <w:color w:val="000000"/>
                <w:sz w:val="21"/>
                <w:szCs w:val="21"/>
                <w:lang w:val="en-US" w:eastAsia="zh-CN"/>
              </w:rPr>
              <w:t>H，且</w:t>
            </w:r>
            <w:r>
              <w:rPr>
                <w:rFonts w:hint="default"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m</w:t>
            </w:r>
          </w:p>
        </w:tc>
        <w:tc>
          <w:tcPr>
            <w:tcW w:w="901" w:type="dxa"/>
            <w:shd w:val="clear" w:color="auto" w:fill="auto"/>
            <w:noWrap w:val="0"/>
            <w:vAlign w:val="center"/>
          </w:tcPr>
          <w:p w14:paraId="6A423EA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320" w:type="dxa"/>
            <w:shd w:val="clear" w:color="auto" w:fill="auto"/>
            <w:noWrap w:val="0"/>
            <w:vAlign w:val="center"/>
          </w:tcPr>
          <w:p w14:paraId="2DB210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pacing w:val="10"/>
                <w:kern w:val="2"/>
                <w:sz w:val="21"/>
                <w:szCs w:val="21"/>
                <w:lang w:val="en-US" w:eastAsia="zh-CN" w:bidi="ar-SA"/>
              </w:rPr>
            </w:pPr>
            <w:r>
              <w:rPr>
                <w:rFonts w:hint="eastAsia" w:ascii="宋体" w:hAnsi="宋体" w:eastAsia="宋体" w:cs="宋体"/>
                <w:color w:val="000000"/>
                <w:spacing w:val="10"/>
                <w:sz w:val="21"/>
                <w:szCs w:val="21"/>
              </w:rPr>
              <w:t>5</w:t>
            </w:r>
          </w:p>
        </w:tc>
        <w:tc>
          <w:tcPr>
            <w:tcW w:w="1745" w:type="dxa"/>
            <w:vMerge w:val="restart"/>
            <w:noWrap w:val="0"/>
            <w:vAlign w:val="center"/>
          </w:tcPr>
          <w:p w14:paraId="4A0E21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cs="宋体"/>
                <w:color w:val="000000"/>
                <w:spacing w:val="-6"/>
                <w:sz w:val="21"/>
                <w:szCs w:val="21"/>
                <w:lang w:val="en-US" w:eastAsia="zh-CN"/>
              </w:rPr>
              <w:t>南面</w:t>
            </w:r>
            <w:r>
              <w:rPr>
                <w:rFonts w:hint="eastAsia" w:ascii="宋体" w:hAnsi="宋体" w:eastAsia="宋体" w:cs="宋体"/>
                <w:color w:val="000000"/>
                <w:spacing w:val="-6"/>
                <w:sz w:val="21"/>
                <w:szCs w:val="21"/>
              </w:rPr>
              <w:t>架空电力线（杆高 11m）</w:t>
            </w:r>
          </w:p>
        </w:tc>
      </w:tr>
      <w:tr w14:paraId="5250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3DC9DF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1786" w:type="dxa"/>
            <w:vMerge w:val="continue"/>
            <w:noWrap w:val="0"/>
            <w:vAlign w:val="center"/>
          </w:tcPr>
          <w:p w14:paraId="23DCD09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tc>
        <w:tc>
          <w:tcPr>
            <w:tcW w:w="721" w:type="dxa"/>
            <w:noWrap w:val="0"/>
            <w:vAlign w:val="center"/>
          </w:tcPr>
          <w:p w14:paraId="38915B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实测</w:t>
            </w:r>
          </w:p>
        </w:tc>
        <w:tc>
          <w:tcPr>
            <w:tcW w:w="1981" w:type="dxa"/>
            <w:noWrap w:val="0"/>
            <w:vAlign w:val="center"/>
          </w:tcPr>
          <w:p w14:paraId="2246C2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54</w:t>
            </w:r>
          </w:p>
        </w:tc>
        <w:tc>
          <w:tcPr>
            <w:tcW w:w="901" w:type="dxa"/>
            <w:noWrap w:val="0"/>
            <w:vAlign w:val="center"/>
          </w:tcPr>
          <w:p w14:paraId="7F953C0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26</w:t>
            </w:r>
          </w:p>
        </w:tc>
        <w:tc>
          <w:tcPr>
            <w:tcW w:w="1320" w:type="dxa"/>
            <w:noWrap w:val="0"/>
            <w:vAlign w:val="center"/>
          </w:tcPr>
          <w:p w14:paraId="3004AB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44.3</w:t>
            </w:r>
          </w:p>
        </w:tc>
        <w:tc>
          <w:tcPr>
            <w:tcW w:w="1745" w:type="dxa"/>
            <w:vMerge w:val="continue"/>
            <w:noWrap w:val="0"/>
            <w:vAlign w:val="center"/>
          </w:tcPr>
          <w:p w14:paraId="1748B8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r w14:paraId="4A9F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6" w:hRule="atLeast"/>
          <w:jc w:val="center"/>
        </w:trPr>
        <w:tc>
          <w:tcPr>
            <w:tcW w:w="736" w:type="dxa"/>
            <w:gridSpan w:val="2"/>
            <w:vMerge w:val="continue"/>
            <w:noWrap w:val="0"/>
            <w:vAlign w:val="center"/>
          </w:tcPr>
          <w:p w14:paraId="30EFAE8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1786" w:type="dxa"/>
            <w:vMerge w:val="continue"/>
            <w:noWrap w:val="0"/>
            <w:vAlign w:val="center"/>
          </w:tcPr>
          <w:p w14:paraId="661C1D6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c>
          <w:tcPr>
            <w:tcW w:w="721" w:type="dxa"/>
            <w:noWrap w:val="0"/>
            <w:vAlign w:val="center"/>
          </w:tcPr>
          <w:p w14:paraId="5D9F1D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结论</w:t>
            </w:r>
          </w:p>
        </w:tc>
        <w:tc>
          <w:tcPr>
            <w:tcW w:w="1981" w:type="dxa"/>
            <w:shd w:val="clear" w:color="auto" w:fill="auto"/>
            <w:noWrap w:val="0"/>
            <w:vAlign w:val="center"/>
          </w:tcPr>
          <w:p w14:paraId="31636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901" w:type="dxa"/>
            <w:shd w:val="clear" w:color="auto" w:fill="auto"/>
            <w:noWrap w:val="0"/>
            <w:vAlign w:val="center"/>
          </w:tcPr>
          <w:p w14:paraId="7CFAA6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320" w:type="dxa"/>
            <w:shd w:val="clear" w:color="auto" w:fill="auto"/>
            <w:noWrap w:val="0"/>
            <w:vAlign w:val="center"/>
          </w:tcPr>
          <w:p w14:paraId="7ED386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符合</w:t>
            </w:r>
          </w:p>
        </w:tc>
        <w:tc>
          <w:tcPr>
            <w:tcW w:w="1745" w:type="dxa"/>
            <w:vMerge w:val="continue"/>
            <w:noWrap w:val="0"/>
            <w:vAlign w:val="center"/>
          </w:tcPr>
          <w:p w14:paraId="071270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000000"/>
                <w:sz w:val="21"/>
                <w:szCs w:val="21"/>
              </w:rPr>
            </w:pPr>
          </w:p>
        </w:tc>
      </w:tr>
    </w:tbl>
    <w:p w14:paraId="49D4F02F">
      <w:pPr>
        <w:pStyle w:val="4"/>
        <w:keepNext/>
        <w:keepLines/>
        <w:pageBreakBefore w:val="0"/>
        <w:widowControl w:val="0"/>
        <w:kinsoku/>
        <w:wordWrap/>
        <w:overflowPunct/>
        <w:topLinePunct w:val="0"/>
        <w:autoSpaceDE/>
        <w:autoSpaceDN/>
        <w:bidi w:val="0"/>
        <w:adjustRightInd/>
        <w:snapToGrid/>
        <w:spacing w:before="157" w:beforeLines="50" w:after="0" w:line="600" w:lineRule="exact"/>
        <w:textAlignment w:val="auto"/>
        <w:rPr>
          <w:rFonts w:hint="eastAsia" w:ascii="宋体" w:hAnsi="宋体" w:eastAsia="宋体" w:cs="宋体"/>
          <w:b/>
          <w:sz w:val="30"/>
          <w:szCs w:val="30"/>
          <w:lang w:val="en-US" w:eastAsia="zh-CN"/>
        </w:rPr>
      </w:pPr>
      <w:bookmarkStart w:id="67" w:name="_Toc9817"/>
      <w:bookmarkStart w:id="68" w:name="_Toc21856"/>
      <w:bookmarkStart w:id="69" w:name="_Toc13669"/>
      <w:bookmarkStart w:id="70" w:name="_Toc364"/>
      <w:r>
        <w:rPr>
          <w:rFonts w:hint="eastAsia" w:ascii="宋体" w:hAnsi="宋体" w:eastAsia="宋体" w:cs="宋体"/>
          <w:b/>
          <w:sz w:val="30"/>
          <w:szCs w:val="30"/>
          <w:lang w:val="en-US" w:eastAsia="zh-CN"/>
        </w:rPr>
        <w:t>2.2.3地形、地貌和地质条件</w:t>
      </w:r>
      <w:bookmarkEnd w:id="67"/>
      <w:bookmarkEnd w:id="68"/>
      <w:bookmarkEnd w:id="69"/>
      <w:bookmarkEnd w:id="70"/>
    </w:p>
    <w:p w14:paraId="676A633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经现场查看，站区地面无崩塌、滑坡、泥石流、岩溶、土洞、河流冲刷以及渗透变形等不良地质现象。</w:t>
      </w:r>
    </w:p>
    <w:p w14:paraId="1320DE6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根据《建筑抗震设计规范》(附条文说明)（GB/T 50011-2010），兰坪县划分为对建筑抗震一般地段，抗震设防烈度为7度，分组为第三组，基本地震加速度为0.15g。</w:t>
      </w:r>
    </w:p>
    <w:p w14:paraId="015B223D">
      <w:pPr>
        <w:pStyle w:val="22"/>
        <w:keepNext w:val="0"/>
        <w:keepLines w:val="0"/>
        <w:pageBreakBefore w:val="0"/>
        <w:widowControl w:val="0"/>
        <w:kinsoku/>
        <w:wordWrap/>
        <w:overflowPunct/>
        <w:topLinePunct w:val="0"/>
        <w:autoSpaceDE w:val="0"/>
        <w:autoSpaceDN w:val="0"/>
        <w:bidi w:val="0"/>
        <w:adjustRightInd w:val="0"/>
        <w:snapToGrid/>
        <w:spacing w:line="600" w:lineRule="exact"/>
        <w:textAlignment w:val="baseline"/>
        <w:rPr>
          <w:rFonts w:hint="eastAsia" w:ascii="宋体" w:hAnsi="宋体" w:eastAsia="宋体" w:cs="宋体"/>
          <w:b/>
          <w:color w:val="auto"/>
          <w:kern w:val="2"/>
          <w:sz w:val="30"/>
          <w:szCs w:val="30"/>
          <w:lang w:val="en-US" w:eastAsia="zh-CN" w:bidi="ar-SA"/>
        </w:rPr>
      </w:pPr>
      <w:bookmarkStart w:id="71" w:name="_Toc6158"/>
      <w:bookmarkStart w:id="72" w:name="_Toc16861"/>
      <w:bookmarkStart w:id="73" w:name="_Toc24190"/>
      <w:r>
        <w:rPr>
          <w:rFonts w:hint="eastAsia" w:ascii="宋体" w:hAnsi="宋体" w:eastAsia="宋体" w:cs="宋体"/>
          <w:b/>
          <w:color w:val="auto"/>
          <w:kern w:val="2"/>
          <w:sz w:val="30"/>
          <w:szCs w:val="30"/>
          <w:lang w:val="en-US" w:eastAsia="zh-CN" w:bidi="ar-SA"/>
        </w:rPr>
        <w:t>2.2.4气象、水文条件</w:t>
      </w:r>
      <w:bookmarkEnd w:id="71"/>
      <w:bookmarkEnd w:id="72"/>
      <w:bookmarkEnd w:id="73"/>
    </w:p>
    <w:p w14:paraId="69007D2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加油站所在地兰坪县气候属于低纬山地季风气候，因地形复杂，海拔高差大，形成典型的垂直分布的立体气候带。多年平均气温13.7℃(河谷16.2℃)，7月份气温最高，平均气温达25.5℃，极端最高气温为31.7℃;1月份气温最低，平均气温3.4℃，极端最低气温零下12℃，气温年较差14.5℃。初霜期为4月11日，无霜期190d。平均日照2008.7h(河谷为1704.5h),年均有效光时897.3h,有效光时比为45%,光热能辐射年均125.148kcalcm？年平均降水量为1002.4mm(河谷为620.1mm)，年平均降雨158d，5月下旬进入雨季，10月中旬结束。年平均降雪2.3d。多年平均降雨量为438.7mm，其中8月份最高，为208.9mm，10月份最少，为81.8mm。年平均风速为1.3m/s，最大风速16m/s，风向年平均偏西，夏季偏南。</w:t>
      </w:r>
    </w:p>
    <w:p w14:paraId="000A356F">
      <w:pPr>
        <w:pStyle w:val="24"/>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firstLine="560" w:firstLineChars="200"/>
        <w:textAlignment w:val="auto"/>
        <w:outlineLvl w:val="9"/>
        <w:rPr>
          <w:rFonts w:hint="eastAsia"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兰坪县大小河流93条，流域面积3758km</w:t>
      </w:r>
      <w:r>
        <w:rPr>
          <w:rFonts w:hint="eastAsia" w:ascii="宋体" w:hAnsi="宋体" w:eastAsia="宋体" w:cs="宋体"/>
          <w:b w:val="0"/>
          <w:bCs w:val="0"/>
          <w:color w:val="auto"/>
          <w:kern w:val="0"/>
          <w:sz w:val="28"/>
          <w:szCs w:val="28"/>
          <w:vertAlign w:val="superscript"/>
          <w:lang w:val="en-US" w:eastAsia="zh-CN"/>
        </w:rPr>
        <w:t>2</w:t>
      </w:r>
      <w:r>
        <w:rPr>
          <w:rFonts w:hint="eastAsia" w:ascii="宋体" w:hAnsi="宋体" w:eastAsia="宋体" w:cs="宋体"/>
          <w:b w:val="0"/>
          <w:bCs w:val="0"/>
          <w:color w:val="auto"/>
          <w:kern w:val="0"/>
          <w:sz w:val="28"/>
          <w:szCs w:val="28"/>
          <w:lang w:val="en-US" w:eastAsia="zh-CN"/>
        </w:rPr>
        <w:t>。兰坪境内大小河流均系澜沧江水系(呈羽状分布)，其中较大的有：沧江、通甸河、毗江、腊铺河、大竹箐河、木瓜邑河、拉竹河、罗松场河、丰河、凤塔河、玉龙河。</w:t>
      </w:r>
    </w:p>
    <w:p w14:paraId="7F04458A">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74" w:name="_Toc29325"/>
      <w:bookmarkStart w:id="75" w:name="_Toc12675"/>
      <w:bookmarkStart w:id="76" w:name="_Toc18627"/>
      <w:bookmarkStart w:id="77" w:name="_Toc21481"/>
      <w:r>
        <w:rPr>
          <w:rFonts w:hint="eastAsia" w:ascii="宋体" w:hAnsi="宋体" w:eastAsia="宋体" w:cs="宋体"/>
          <w:b/>
          <w:smallCaps/>
          <w:color w:val="auto"/>
          <w:kern w:val="0"/>
          <w:sz w:val="32"/>
          <w:szCs w:val="32"/>
          <w:lang w:val="en-US" w:eastAsia="zh-CN"/>
        </w:rPr>
        <w:t>2.3平面布置及建筑结构</w:t>
      </w:r>
      <w:bookmarkEnd w:id="74"/>
      <w:bookmarkEnd w:id="75"/>
      <w:bookmarkEnd w:id="76"/>
      <w:bookmarkEnd w:id="77"/>
    </w:p>
    <w:p w14:paraId="73B8DCC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line="600" w:lineRule="exact"/>
        <w:ind w:lef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spacing w:val="0"/>
          <w:kern w:val="0"/>
          <w:sz w:val="28"/>
          <w:szCs w:val="28"/>
          <w:shd w:val="clear" w:fill="FFFFFF"/>
          <w:lang w:val="en-US" w:eastAsia="zh-CN" w:bidi="ar"/>
        </w:rPr>
        <w:t>兰坪县宏源经贸有限责任公司位于云南省怒江傈僳族自治州兰坪白族普米族自治县通甸镇八十一社区，加油站</w:t>
      </w:r>
      <w:r>
        <w:rPr>
          <w:rFonts w:hint="eastAsia" w:ascii="宋体" w:hAnsi="宋体" w:cs="宋体"/>
          <w:i w:val="0"/>
          <w:iCs w:val="0"/>
          <w:caps w:val="0"/>
          <w:spacing w:val="0"/>
          <w:kern w:val="0"/>
          <w:sz w:val="28"/>
          <w:szCs w:val="28"/>
          <w:shd w:val="clear" w:fill="FFFFFF"/>
          <w:lang w:val="en-US" w:eastAsia="zh-CN" w:bidi="ar"/>
        </w:rPr>
        <w:t>坐</w:t>
      </w:r>
      <w:r>
        <w:rPr>
          <w:rFonts w:hint="eastAsia" w:ascii="宋体" w:hAnsi="宋体" w:eastAsia="宋体" w:cs="宋体"/>
          <w:i w:val="0"/>
          <w:iCs w:val="0"/>
          <w:caps w:val="0"/>
          <w:spacing w:val="0"/>
          <w:kern w:val="0"/>
          <w:sz w:val="28"/>
          <w:szCs w:val="28"/>
          <w:shd w:val="clear" w:fill="FFFFFF"/>
          <w:lang w:val="en-US" w:eastAsia="zh-CN" w:bidi="ar"/>
        </w:rPr>
        <w:t>东向西，面向剑兰公路。为充分利用场地，整个站区建（构）筑物的布置分为三个功能区，分别是加油区、站房和油罐区。加油站出入口设置于加油站西侧。</w:t>
      </w:r>
    </w:p>
    <w:p w14:paraId="204A45FB">
      <w:pPr>
        <w:keepNext w:val="0"/>
        <w:keepLines w:val="0"/>
        <w:pageBreakBefore w:val="0"/>
        <w:widowControl/>
        <w:suppressLineNumbers w:val="0"/>
        <w:shd w:val="clear" w:fill="FFFFFF"/>
        <w:kinsoku/>
        <w:wordWrap/>
        <w:overflowPunct/>
        <w:topLinePunct w:val="0"/>
        <w:autoSpaceDE/>
        <w:autoSpaceDN/>
        <w:bidi w:val="0"/>
        <w:adjustRightInd/>
        <w:snapToGrid/>
        <w:spacing w:line="600" w:lineRule="exact"/>
        <w:ind w:left="0" w:firstLine="560" w:firstLineChars="200"/>
        <w:jc w:val="both"/>
        <w:textAlignment w:val="auto"/>
        <w:rPr>
          <w:rFonts w:hint="eastAsia" w:ascii="宋体" w:hAnsi="宋体" w:eastAsia="宋体" w:cs="宋体"/>
          <w:sz w:val="28"/>
          <w:szCs w:val="28"/>
        </w:rPr>
      </w:pPr>
      <w:r>
        <w:rPr>
          <w:rFonts w:hint="eastAsia" w:ascii="宋体" w:hAnsi="宋体" w:eastAsia="宋体" w:cs="宋体"/>
          <w:i w:val="0"/>
          <w:iCs w:val="0"/>
          <w:caps w:val="0"/>
          <w:spacing w:val="0"/>
          <w:kern w:val="0"/>
          <w:sz w:val="28"/>
          <w:szCs w:val="28"/>
          <w:shd w:val="clear" w:fill="FFFFFF"/>
          <w:lang w:val="en-US" w:eastAsia="zh-CN" w:bidi="ar"/>
        </w:rPr>
        <w:t>油罐区：加油站油罐区位于加油站东侧，罐池为承重罐池，罐池内有 SF 双层卧式储油罐4个，油罐上设置有检测立管，油罐集中布置于油罐池内且埋地设置。加油站总罐容为200m³（汽油: 50m³×2，柴油: 50m³×2）。油罐间距为0.6m，罐顶低于混凝上路而约 1m。油罐的周围采用符合产品说明书要求的回填料进行回填。每个油罐设置钢制操作井2座，操作井内四钉法兰均用铜片进行静电跨接。人孔井采用加油站车行道下专用的密闭井盖和井座。油罐采用扁铁锚固防止油罐上浮，油罐区设置了水位观测井。每个油罐单独采用DN50的钢管做通气管，通气管沿罩棚立柱向上敷设，管口高出罩棚顶面1.5m以上，通气管口安装有阻火器，汽油罐的通气管还装有呼吸阀。加油站采用潜油泵加油工艺，油罐设有高低液位报警仪和泄漏检测仪，卸油区位于油罐区西侧。汽油、柴油卸油口均采用快速接头，布置在卸油口内；油品卸油口和罐区操作井盖均标注有油品标识。卸油口设置有固定式车载静电接地自动报警仪和人体静电消除桩，确保卸油过程的安全。卸油口设置消防沙池1个，消防器材箱1个。</w:t>
      </w:r>
    </w:p>
    <w:p w14:paraId="03FDF390">
      <w:pPr>
        <w:keepNext w:val="0"/>
        <w:keepLines w:val="0"/>
        <w:pageBreakBefore w:val="0"/>
        <w:widowControl/>
        <w:suppressLineNumbers w:val="0"/>
        <w:pBdr>
          <w:top w:val="none" w:color="auto" w:sz="0" w:space="0"/>
          <w:bottom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1C1F23"/>
          <w:spacing w:val="0"/>
          <w:kern w:val="0"/>
          <w:sz w:val="28"/>
          <w:szCs w:val="28"/>
          <w:shd w:val="clear" w:fill="FFFFFF"/>
          <w:lang w:val="en-US" w:eastAsia="zh-CN" w:bidi="ar"/>
        </w:rPr>
      </w:pPr>
      <w:r>
        <w:rPr>
          <w:rFonts w:hint="eastAsia" w:ascii="宋体" w:hAnsi="宋体" w:eastAsia="宋体" w:cs="宋体"/>
          <w:i w:val="0"/>
          <w:iCs w:val="0"/>
          <w:caps w:val="0"/>
          <w:spacing w:val="0"/>
          <w:kern w:val="0"/>
          <w:sz w:val="28"/>
          <w:szCs w:val="28"/>
          <w:shd w:val="clear" w:fill="FFFFFF"/>
          <w:lang w:val="en-US" w:eastAsia="zh-CN" w:bidi="ar"/>
        </w:rPr>
        <w:t>加油区：加油区位于站房西面，无明火或散发火花设施。加油区设</w:t>
      </w:r>
      <w:r>
        <w:rPr>
          <w:rFonts w:hint="eastAsia" w:ascii="宋体" w:hAnsi="宋体" w:eastAsia="宋体" w:cs="宋体"/>
          <w:i w:val="0"/>
          <w:iCs w:val="0"/>
          <w:caps w:val="0"/>
          <w:color w:val="1C1F23"/>
          <w:spacing w:val="0"/>
          <w:kern w:val="0"/>
          <w:sz w:val="28"/>
          <w:szCs w:val="28"/>
          <w:shd w:val="clear" w:fill="FFFFFF"/>
          <w:lang w:val="en-US" w:eastAsia="zh-CN" w:bidi="ar"/>
        </w:rPr>
        <w:t>置2台双枪加油机和2台四枪加油机。加油机设有剪切阀、拉断阀和急停按钮。设4个加油岛，加油岛宽1.3m、高0.2m，每个加油岛上设1台加油机。油区罩棚棚体采用钢网架结构，并刷防火涂料，耐火等级为二级，棚支柱为钢筋混凝土支柱。加油岛上的罩棚支柱距岛端棚距离约为0.6m，罩棚有效高度约7.8m。罩棚边缘与加油机的投影距离为7m。加油区共配置5kg ABC干粉灭火器8只，35kg手推式 ABC灭火器4只。罩棚下照明采用节能照明灯，防护等级不低于IP44。加油区未配套设置摩托车专用加油区域和工具。加油区设置2条单车道和1条双车道。单车道最窄处宽6m, 双车道最窄处宽11m。加油站内车道转弯半径大于9m。</w:t>
      </w:r>
    </w:p>
    <w:p w14:paraId="6F97B415">
      <w:pPr>
        <w:keepNext w:val="0"/>
        <w:keepLines w:val="0"/>
        <w:pageBreakBefore w:val="0"/>
        <w:widowControl/>
        <w:suppressLineNumbers w:val="0"/>
        <w:pBdr>
          <w:top w:val="none" w:color="auto" w:sz="0" w:space="0"/>
          <w:bottom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1C1F23"/>
          <w:spacing w:val="0"/>
          <w:kern w:val="0"/>
          <w:sz w:val="28"/>
          <w:szCs w:val="28"/>
          <w:shd w:val="clear" w:fill="FFFFFF"/>
          <w:lang w:val="en-US" w:eastAsia="zh-CN" w:bidi="ar"/>
        </w:rPr>
      </w:pPr>
      <w:r>
        <w:rPr>
          <w:rFonts w:hint="eastAsia" w:ascii="宋体" w:hAnsi="宋体" w:eastAsia="宋体" w:cs="宋体"/>
          <w:i w:val="0"/>
          <w:iCs w:val="0"/>
          <w:caps w:val="0"/>
          <w:color w:val="1C1F23"/>
          <w:spacing w:val="0"/>
          <w:kern w:val="0"/>
          <w:sz w:val="28"/>
          <w:szCs w:val="28"/>
          <w:shd w:val="clear" w:fill="FFFFFF"/>
          <w:lang w:val="en-US" w:eastAsia="zh-CN" w:bidi="ar"/>
        </w:rPr>
        <w:t>站房：房为一栋2层建筑，内设营业室、办公室、配电室和发电机房等。建筑结构为砖混结构，耐火等级为二级。发电机房内设有1台24kW的柴油发电机组。烟气通过排烟管排至室外，排烟管管口安装了阻火器。排烟管口至各爆炸危险区域边界的水平距离符合要求。配电室内设有照明灯具，配电箱前设有绝缘垫，室内设置了灭火器和绝缘手套、绝缘鞋等安全器具，配电室门口设有挡鼠板。</w:t>
      </w:r>
    </w:p>
    <w:p w14:paraId="2EC2AC07">
      <w:pPr>
        <w:keepNext w:val="0"/>
        <w:keepLines w:val="0"/>
        <w:pageBreakBefore w:val="0"/>
        <w:widowControl/>
        <w:suppressLineNumbers w:val="0"/>
        <w:pBdr>
          <w:top w:val="none" w:color="auto" w:sz="0" w:space="0"/>
          <w:bottom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1C1F23"/>
          <w:spacing w:val="0"/>
          <w:kern w:val="0"/>
          <w:sz w:val="28"/>
          <w:szCs w:val="28"/>
          <w:shd w:val="clear" w:fill="FFFFFF"/>
          <w:lang w:val="en-US" w:eastAsia="zh-CN" w:bidi="ar"/>
        </w:rPr>
      </w:pPr>
      <w:r>
        <w:rPr>
          <w:rFonts w:hint="eastAsia" w:ascii="宋体" w:hAnsi="宋体" w:eastAsia="宋体" w:cs="宋体"/>
          <w:i w:val="0"/>
          <w:iCs w:val="0"/>
          <w:caps w:val="0"/>
          <w:color w:val="1C1F23"/>
          <w:spacing w:val="0"/>
          <w:kern w:val="0"/>
          <w:sz w:val="28"/>
          <w:szCs w:val="28"/>
          <w:shd w:val="clear" w:fill="FFFFFF"/>
          <w:lang w:val="en-US" w:eastAsia="zh-CN" w:bidi="ar"/>
        </w:rPr>
        <w:t>洗车区：洗车区位于站房的北面，洗车区设置自动洗车器。</w:t>
      </w:r>
    </w:p>
    <w:p w14:paraId="187A2472">
      <w:pPr>
        <w:keepNext w:val="0"/>
        <w:keepLines w:val="0"/>
        <w:pageBreakBefore w:val="0"/>
        <w:widowControl/>
        <w:suppressLineNumbers w:val="0"/>
        <w:pBdr>
          <w:top w:val="none" w:color="auto" w:sz="0" w:space="0"/>
          <w:bottom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1C1F23"/>
          <w:spacing w:val="0"/>
          <w:kern w:val="0"/>
          <w:sz w:val="28"/>
          <w:szCs w:val="28"/>
          <w:shd w:val="clear" w:fill="FFFFFF"/>
          <w:lang w:val="en-US" w:eastAsia="zh-CN" w:bidi="ar"/>
        </w:rPr>
      </w:pPr>
      <w:r>
        <w:rPr>
          <w:rFonts w:hint="eastAsia" w:ascii="宋体" w:hAnsi="宋体" w:eastAsia="宋体" w:cs="宋体"/>
          <w:i w:val="0"/>
          <w:iCs w:val="0"/>
          <w:caps w:val="0"/>
          <w:color w:val="1C1F23"/>
          <w:spacing w:val="0"/>
          <w:kern w:val="0"/>
          <w:sz w:val="28"/>
          <w:szCs w:val="28"/>
          <w:shd w:val="clear" w:fill="FFFFFF"/>
          <w:lang w:val="en-US" w:eastAsia="zh-CN" w:bidi="ar"/>
        </w:rPr>
        <w:t>三级油水分离池：三级油水分离池位于站房西侧绿化带内。</w:t>
      </w:r>
    </w:p>
    <w:p w14:paraId="3EFBCADB">
      <w:pPr>
        <w:keepNext w:val="0"/>
        <w:keepLines w:val="0"/>
        <w:pageBreakBefore w:val="0"/>
        <w:widowControl/>
        <w:suppressLineNumbers w:val="0"/>
        <w:pBdr>
          <w:top w:val="none" w:color="auto" w:sz="0" w:space="0"/>
          <w:bottom w:val="none" w:color="auto" w:sz="0" w:space="0"/>
        </w:pBdr>
        <w:shd w:val="clear" w:fill="FFFFFF"/>
        <w:kinsoku/>
        <w:wordWrap/>
        <w:overflowPunct/>
        <w:topLinePunct w:val="0"/>
        <w:autoSpaceDE/>
        <w:autoSpaceDN/>
        <w:bidi w:val="0"/>
        <w:adjustRightInd/>
        <w:snapToGrid/>
        <w:spacing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1C1F23"/>
          <w:spacing w:val="0"/>
          <w:sz w:val="28"/>
          <w:szCs w:val="28"/>
        </w:rPr>
      </w:pPr>
      <w:r>
        <w:rPr>
          <w:rFonts w:hint="eastAsia" w:ascii="宋体" w:hAnsi="宋体" w:eastAsia="宋体" w:cs="宋体"/>
          <w:i w:val="0"/>
          <w:iCs w:val="0"/>
          <w:caps w:val="0"/>
          <w:color w:val="1C1F23"/>
          <w:spacing w:val="0"/>
          <w:kern w:val="0"/>
          <w:sz w:val="28"/>
          <w:szCs w:val="28"/>
          <w:shd w:val="clear" w:fill="FFFFFF"/>
          <w:lang w:val="en-US" w:eastAsia="zh-CN" w:bidi="ar"/>
        </w:rPr>
        <w:t>加油站设有油气回收系统，站内各设施安全距离见2-3。</w:t>
      </w:r>
    </w:p>
    <w:p w14:paraId="6B95DFA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rPr>
          <w:rFonts w:hint="eastAsia" w:cs="宋体"/>
          <w:kern w:val="0"/>
          <w:sz w:val="24"/>
          <w:szCs w:val="24"/>
          <w:lang w:val="en-US" w:eastAsia="zh-CN"/>
        </w:rPr>
      </w:pPr>
      <w:r>
        <w:rPr>
          <w:rFonts w:hint="eastAsia" w:ascii="宋体" w:hAnsi="宋体" w:eastAsia="宋体" w:cs="宋体"/>
          <w:sz w:val="24"/>
          <w:szCs w:val="24"/>
          <w:lang w:val="en-US" w:eastAsia="zh-CN"/>
        </w:rPr>
        <w:t>表2-3</w:t>
      </w:r>
      <w:r>
        <w:rPr>
          <w:rFonts w:hint="eastAsia" w:ascii="宋体" w:hAnsi="宋体" w:eastAsia="宋体" w:cs="宋体"/>
          <w:kern w:val="0"/>
          <w:sz w:val="24"/>
          <w:szCs w:val="24"/>
        </w:rPr>
        <w:t>加油站站内设施</w:t>
      </w:r>
      <w:r>
        <w:rPr>
          <w:rFonts w:hint="eastAsia" w:cs="宋体"/>
          <w:kern w:val="0"/>
          <w:sz w:val="24"/>
          <w:szCs w:val="24"/>
          <w:lang w:val="en-US" w:eastAsia="zh-CN"/>
        </w:rPr>
        <w:t>防火距离一览表（单位：m）</w:t>
      </w:r>
    </w:p>
    <w:tbl>
      <w:tblPr>
        <w:tblStyle w:val="16"/>
        <w:tblW w:w="5000" w:type="pct"/>
        <w:jc w:val="center"/>
        <w:tblLayout w:type="fixed"/>
        <w:tblCellMar>
          <w:top w:w="0" w:type="dxa"/>
          <w:left w:w="28" w:type="dxa"/>
          <w:bottom w:w="0" w:type="dxa"/>
          <w:right w:w="28" w:type="dxa"/>
        </w:tblCellMar>
      </w:tblPr>
      <w:tblGrid>
        <w:gridCol w:w="1361"/>
        <w:gridCol w:w="1343"/>
        <w:gridCol w:w="1119"/>
        <w:gridCol w:w="1111"/>
        <w:gridCol w:w="1306"/>
        <w:gridCol w:w="1232"/>
        <w:gridCol w:w="858"/>
        <w:gridCol w:w="911"/>
      </w:tblGrid>
      <w:tr w14:paraId="5BB5FB35">
        <w:tblPrEx>
          <w:tblCellMar>
            <w:top w:w="0" w:type="dxa"/>
            <w:left w:w="28" w:type="dxa"/>
            <w:bottom w:w="0" w:type="dxa"/>
            <w:right w:w="28" w:type="dxa"/>
          </w:tblCellMar>
        </w:tblPrEx>
        <w:trPr>
          <w:cantSplit/>
          <w:trHeight w:val="329" w:hRule="atLeast"/>
          <w:jc w:val="center"/>
        </w:trPr>
        <w:tc>
          <w:tcPr>
            <w:tcW w:w="2704" w:type="dxa"/>
            <w:gridSpan w:val="2"/>
            <w:tcBorders>
              <w:top w:val="single" w:color="auto" w:sz="6" w:space="0"/>
              <w:left w:val="single" w:color="auto" w:sz="4" w:space="0"/>
              <w:bottom w:val="nil"/>
              <w:right w:val="single" w:color="auto" w:sz="4" w:space="0"/>
            </w:tcBorders>
            <w:noWrap w:val="0"/>
            <w:vAlign w:val="center"/>
          </w:tcPr>
          <w:p w14:paraId="0C510D44">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设施名称</w:t>
            </w:r>
          </w:p>
        </w:tc>
        <w:tc>
          <w:tcPr>
            <w:tcW w:w="1119" w:type="dxa"/>
            <w:tcBorders>
              <w:top w:val="single" w:color="auto" w:sz="6" w:space="0"/>
              <w:left w:val="single" w:color="auto" w:sz="6" w:space="0"/>
              <w:right w:val="single" w:color="auto" w:sz="4" w:space="0"/>
            </w:tcBorders>
            <w:noWrap w:val="0"/>
            <w:vAlign w:val="center"/>
          </w:tcPr>
          <w:p w14:paraId="4E884D8E">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汽</w:t>
            </w:r>
            <w:r>
              <w:rPr>
                <w:rFonts w:hint="eastAsia" w:ascii="宋体" w:hAnsi="宋体" w:eastAsia="宋体" w:cs="宋体"/>
                <w:b/>
                <w:bCs/>
                <w:color w:val="000000"/>
                <w:spacing w:val="20"/>
              </w:rPr>
              <w:t>油罐</w:t>
            </w:r>
          </w:p>
        </w:tc>
        <w:tc>
          <w:tcPr>
            <w:tcW w:w="1111" w:type="dxa"/>
            <w:tcBorders>
              <w:top w:val="single" w:color="auto" w:sz="6" w:space="0"/>
              <w:left w:val="single" w:color="auto" w:sz="4" w:space="0"/>
              <w:right w:val="single" w:color="auto" w:sz="4" w:space="0"/>
            </w:tcBorders>
            <w:noWrap w:val="0"/>
            <w:vAlign w:val="center"/>
          </w:tcPr>
          <w:p w14:paraId="73CCDCBD">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柴油罐</w:t>
            </w:r>
          </w:p>
        </w:tc>
        <w:tc>
          <w:tcPr>
            <w:tcW w:w="1306" w:type="dxa"/>
            <w:tcBorders>
              <w:top w:val="single" w:color="auto" w:sz="6" w:space="0"/>
              <w:left w:val="single" w:color="auto" w:sz="4" w:space="0"/>
              <w:right w:val="single" w:color="auto" w:sz="4" w:space="0"/>
            </w:tcBorders>
            <w:noWrap w:val="0"/>
            <w:vAlign w:val="center"/>
          </w:tcPr>
          <w:p w14:paraId="3401DA5A">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spacing w:val="10"/>
              </w:rPr>
              <w:t>汽油通气管管口</w:t>
            </w:r>
          </w:p>
        </w:tc>
        <w:tc>
          <w:tcPr>
            <w:tcW w:w="1232" w:type="dxa"/>
            <w:tcBorders>
              <w:top w:val="single" w:color="auto" w:sz="6" w:space="0"/>
              <w:left w:val="single" w:color="auto" w:sz="4" w:space="0"/>
              <w:right w:val="single" w:color="auto" w:sz="4" w:space="0"/>
            </w:tcBorders>
            <w:noWrap w:val="0"/>
            <w:vAlign w:val="center"/>
          </w:tcPr>
          <w:p w14:paraId="0AB234C0">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spacing w:val="10"/>
              </w:rPr>
              <w:t>柴油通气管管口</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57CD9292">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加油机</w:t>
            </w:r>
          </w:p>
        </w:tc>
        <w:tc>
          <w:tcPr>
            <w:tcW w:w="911" w:type="dxa"/>
            <w:tcBorders>
              <w:top w:val="single" w:color="auto" w:sz="6" w:space="0"/>
              <w:left w:val="single" w:color="auto" w:sz="6" w:space="0"/>
              <w:bottom w:val="nil"/>
              <w:right w:val="single" w:color="auto" w:sz="4" w:space="0"/>
            </w:tcBorders>
            <w:noWrap w:val="0"/>
            <w:vAlign w:val="center"/>
          </w:tcPr>
          <w:p w14:paraId="37F03A23">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油品卸车点</w:t>
            </w:r>
          </w:p>
        </w:tc>
      </w:tr>
      <w:tr w14:paraId="5ECA13CE">
        <w:tblPrEx>
          <w:tblCellMar>
            <w:top w:w="0" w:type="dxa"/>
            <w:left w:w="28" w:type="dxa"/>
            <w:bottom w:w="0" w:type="dxa"/>
            <w:right w:w="28" w:type="dxa"/>
          </w:tblCellMar>
        </w:tblPrEx>
        <w:trPr>
          <w:cantSplit/>
          <w:trHeight w:val="329" w:hRule="atLeast"/>
          <w:jc w:val="center"/>
        </w:trPr>
        <w:tc>
          <w:tcPr>
            <w:tcW w:w="1361" w:type="dxa"/>
            <w:vMerge w:val="restart"/>
            <w:tcBorders>
              <w:top w:val="single" w:color="auto" w:sz="6" w:space="0"/>
              <w:left w:val="single" w:color="auto" w:sz="4" w:space="0"/>
              <w:right w:val="single" w:color="auto" w:sz="6" w:space="0"/>
            </w:tcBorders>
            <w:noWrap w:val="0"/>
            <w:vAlign w:val="center"/>
          </w:tcPr>
          <w:p w14:paraId="4CF133F8">
            <w:pPr>
              <w:autoSpaceDE w:val="0"/>
              <w:autoSpaceDN w:val="0"/>
              <w:spacing w:line="360" w:lineRule="auto"/>
              <w:jc w:val="center"/>
              <w:textAlignment w:val="bottom"/>
              <w:rPr>
                <w:rFonts w:hint="eastAsia" w:ascii="宋体" w:hAnsi="宋体" w:eastAsia="宋体" w:cs="宋体"/>
                <w:b/>
                <w:bCs/>
                <w:color w:val="000000"/>
                <w:spacing w:val="20"/>
              </w:rPr>
            </w:pPr>
            <w:r>
              <w:rPr>
                <w:rFonts w:hint="eastAsia" w:ascii="宋体" w:hAnsi="宋体" w:eastAsia="宋体" w:cs="宋体"/>
                <w:b/>
                <w:bCs/>
                <w:color w:val="000000"/>
              </w:rPr>
              <w:t>汽</w:t>
            </w:r>
            <w:r>
              <w:rPr>
                <w:rFonts w:hint="eastAsia" w:ascii="宋体" w:hAnsi="宋体" w:eastAsia="宋体" w:cs="宋体"/>
                <w:b/>
                <w:bCs/>
                <w:color w:val="000000"/>
                <w:spacing w:val="20"/>
              </w:rPr>
              <w:t>油罐</w:t>
            </w:r>
          </w:p>
        </w:tc>
        <w:tc>
          <w:tcPr>
            <w:tcW w:w="1343" w:type="dxa"/>
            <w:tcBorders>
              <w:top w:val="single" w:color="auto" w:sz="6" w:space="0"/>
              <w:left w:val="single" w:color="auto" w:sz="6" w:space="0"/>
              <w:bottom w:val="single" w:color="auto" w:sz="4" w:space="0"/>
              <w:right w:val="single" w:color="auto" w:sz="6" w:space="0"/>
            </w:tcBorders>
            <w:noWrap w:val="0"/>
            <w:vAlign w:val="center"/>
          </w:tcPr>
          <w:p w14:paraId="311CCCD5">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4" w:space="0"/>
              <w:right w:val="single" w:color="auto" w:sz="6" w:space="0"/>
            </w:tcBorders>
            <w:noWrap w:val="0"/>
            <w:vAlign w:val="center"/>
          </w:tcPr>
          <w:p w14:paraId="151BFA8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0.5</w:t>
            </w:r>
          </w:p>
        </w:tc>
        <w:tc>
          <w:tcPr>
            <w:tcW w:w="1111" w:type="dxa"/>
            <w:tcBorders>
              <w:top w:val="single" w:color="auto" w:sz="6" w:space="0"/>
              <w:left w:val="single" w:color="auto" w:sz="6" w:space="0"/>
              <w:bottom w:val="single" w:color="auto" w:sz="4" w:space="0"/>
              <w:right w:val="single" w:color="auto" w:sz="4" w:space="0"/>
            </w:tcBorders>
            <w:noWrap w:val="0"/>
            <w:vAlign w:val="center"/>
          </w:tcPr>
          <w:p w14:paraId="672E5E4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0.5</w:t>
            </w:r>
          </w:p>
        </w:tc>
        <w:tc>
          <w:tcPr>
            <w:tcW w:w="1306" w:type="dxa"/>
            <w:tcBorders>
              <w:top w:val="single" w:color="auto" w:sz="6" w:space="0"/>
              <w:left w:val="single" w:color="auto" w:sz="4" w:space="0"/>
              <w:bottom w:val="single" w:color="auto" w:sz="4" w:space="0"/>
              <w:right w:val="single" w:color="auto" w:sz="4" w:space="0"/>
            </w:tcBorders>
            <w:noWrap w:val="0"/>
            <w:vAlign w:val="center"/>
          </w:tcPr>
          <w:p w14:paraId="136CD8B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6" w:space="0"/>
              <w:left w:val="single" w:color="auto" w:sz="4" w:space="0"/>
              <w:bottom w:val="single" w:color="auto" w:sz="4" w:space="0"/>
              <w:right w:val="single" w:color="auto" w:sz="6" w:space="0"/>
            </w:tcBorders>
            <w:noWrap w:val="0"/>
            <w:vAlign w:val="center"/>
          </w:tcPr>
          <w:p w14:paraId="0D6C3E42">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6" w:space="0"/>
              <w:left w:val="single" w:color="auto" w:sz="6" w:space="0"/>
              <w:bottom w:val="single" w:color="auto" w:sz="4" w:space="0"/>
              <w:right w:val="single" w:color="auto" w:sz="4" w:space="0"/>
            </w:tcBorders>
            <w:noWrap w:val="0"/>
            <w:vAlign w:val="center"/>
          </w:tcPr>
          <w:p w14:paraId="2A792C46">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4" w:space="0"/>
              <w:right w:val="single" w:color="auto" w:sz="4" w:space="0"/>
            </w:tcBorders>
            <w:noWrap w:val="0"/>
            <w:vAlign w:val="center"/>
          </w:tcPr>
          <w:p w14:paraId="637D798A">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6A2A53D2">
        <w:tblPrEx>
          <w:tblCellMar>
            <w:top w:w="0" w:type="dxa"/>
            <w:left w:w="28" w:type="dxa"/>
            <w:bottom w:w="0" w:type="dxa"/>
            <w:right w:w="28" w:type="dxa"/>
          </w:tblCellMar>
        </w:tblPrEx>
        <w:trPr>
          <w:cantSplit/>
          <w:trHeight w:val="329" w:hRule="atLeast"/>
          <w:jc w:val="center"/>
        </w:trPr>
        <w:tc>
          <w:tcPr>
            <w:tcW w:w="1361" w:type="dxa"/>
            <w:vMerge w:val="continue"/>
            <w:tcBorders>
              <w:left w:val="single" w:color="auto" w:sz="4" w:space="0"/>
              <w:bottom w:val="single" w:color="auto" w:sz="4" w:space="0"/>
              <w:right w:val="single" w:color="auto" w:sz="6" w:space="0"/>
            </w:tcBorders>
            <w:noWrap w:val="0"/>
            <w:vAlign w:val="center"/>
          </w:tcPr>
          <w:p w14:paraId="540124A4">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6" w:space="0"/>
              <w:left w:val="single" w:color="auto" w:sz="6" w:space="0"/>
              <w:bottom w:val="single" w:color="auto" w:sz="4" w:space="0"/>
              <w:right w:val="single" w:color="auto" w:sz="6" w:space="0"/>
            </w:tcBorders>
            <w:noWrap w:val="0"/>
            <w:vAlign w:val="center"/>
          </w:tcPr>
          <w:p w14:paraId="5519BF0C">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4" w:space="0"/>
              <w:right w:val="single" w:color="auto" w:sz="6" w:space="0"/>
            </w:tcBorders>
            <w:noWrap w:val="0"/>
            <w:vAlign w:val="center"/>
          </w:tcPr>
          <w:p w14:paraId="00CEAB8C">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0.6</w:t>
            </w:r>
          </w:p>
        </w:tc>
        <w:tc>
          <w:tcPr>
            <w:tcW w:w="1111" w:type="dxa"/>
            <w:tcBorders>
              <w:top w:val="single" w:color="auto" w:sz="6" w:space="0"/>
              <w:left w:val="single" w:color="auto" w:sz="6" w:space="0"/>
              <w:bottom w:val="single" w:color="auto" w:sz="4" w:space="0"/>
              <w:right w:val="single" w:color="auto" w:sz="4" w:space="0"/>
            </w:tcBorders>
            <w:noWrap w:val="0"/>
            <w:vAlign w:val="center"/>
          </w:tcPr>
          <w:p w14:paraId="31C32AF6">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0.6</w:t>
            </w:r>
          </w:p>
        </w:tc>
        <w:tc>
          <w:tcPr>
            <w:tcW w:w="1306" w:type="dxa"/>
            <w:tcBorders>
              <w:top w:val="single" w:color="auto" w:sz="6" w:space="0"/>
              <w:left w:val="single" w:color="auto" w:sz="4" w:space="0"/>
              <w:bottom w:val="single" w:color="auto" w:sz="4" w:space="0"/>
              <w:right w:val="single" w:color="auto" w:sz="4" w:space="0"/>
            </w:tcBorders>
            <w:noWrap w:val="0"/>
            <w:vAlign w:val="center"/>
          </w:tcPr>
          <w:p w14:paraId="1E88F690">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6" w:space="0"/>
              <w:left w:val="single" w:color="auto" w:sz="4" w:space="0"/>
              <w:bottom w:val="single" w:color="auto" w:sz="4" w:space="0"/>
              <w:right w:val="single" w:color="auto" w:sz="6" w:space="0"/>
            </w:tcBorders>
            <w:noWrap w:val="0"/>
            <w:vAlign w:val="center"/>
          </w:tcPr>
          <w:p w14:paraId="398687A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6" w:space="0"/>
              <w:left w:val="single" w:color="auto" w:sz="6" w:space="0"/>
              <w:bottom w:val="single" w:color="auto" w:sz="4" w:space="0"/>
              <w:right w:val="single" w:color="auto" w:sz="4" w:space="0"/>
            </w:tcBorders>
            <w:noWrap w:val="0"/>
            <w:vAlign w:val="center"/>
          </w:tcPr>
          <w:p w14:paraId="70C2B57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4" w:space="0"/>
              <w:right w:val="single" w:color="auto" w:sz="4" w:space="0"/>
            </w:tcBorders>
            <w:noWrap w:val="0"/>
            <w:vAlign w:val="center"/>
          </w:tcPr>
          <w:p w14:paraId="4BE5023D">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1843A65B">
        <w:tblPrEx>
          <w:tblCellMar>
            <w:top w:w="0" w:type="dxa"/>
            <w:left w:w="28" w:type="dxa"/>
            <w:bottom w:w="0" w:type="dxa"/>
            <w:right w:w="28" w:type="dxa"/>
          </w:tblCellMar>
        </w:tblPrEx>
        <w:trPr>
          <w:cantSplit/>
          <w:trHeight w:val="329" w:hRule="atLeast"/>
          <w:jc w:val="center"/>
        </w:trPr>
        <w:tc>
          <w:tcPr>
            <w:tcW w:w="1361" w:type="dxa"/>
            <w:vMerge w:val="restart"/>
            <w:tcBorders>
              <w:top w:val="single" w:color="auto" w:sz="4" w:space="0"/>
              <w:left w:val="single" w:color="auto" w:sz="4" w:space="0"/>
              <w:right w:val="single" w:color="auto" w:sz="6" w:space="0"/>
            </w:tcBorders>
            <w:noWrap w:val="0"/>
            <w:vAlign w:val="center"/>
          </w:tcPr>
          <w:p w14:paraId="61D44F46">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柴油罐</w:t>
            </w:r>
          </w:p>
        </w:tc>
        <w:tc>
          <w:tcPr>
            <w:tcW w:w="1343" w:type="dxa"/>
            <w:tcBorders>
              <w:top w:val="single" w:color="auto" w:sz="6" w:space="0"/>
              <w:left w:val="single" w:color="auto" w:sz="6" w:space="0"/>
              <w:bottom w:val="single" w:color="auto" w:sz="4" w:space="0"/>
              <w:right w:val="single" w:color="auto" w:sz="6" w:space="0"/>
            </w:tcBorders>
            <w:noWrap w:val="0"/>
            <w:vAlign w:val="center"/>
          </w:tcPr>
          <w:p w14:paraId="6A57A11B">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4" w:space="0"/>
              <w:right w:val="single" w:color="auto" w:sz="6" w:space="0"/>
            </w:tcBorders>
            <w:noWrap w:val="0"/>
            <w:vAlign w:val="center"/>
          </w:tcPr>
          <w:p w14:paraId="58F58C66">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0.5</w:t>
            </w:r>
          </w:p>
        </w:tc>
        <w:tc>
          <w:tcPr>
            <w:tcW w:w="1111" w:type="dxa"/>
            <w:tcBorders>
              <w:top w:val="single" w:color="auto" w:sz="6" w:space="0"/>
              <w:left w:val="single" w:color="auto" w:sz="6" w:space="0"/>
              <w:bottom w:val="single" w:color="auto" w:sz="4" w:space="0"/>
              <w:right w:val="single" w:color="auto" w:sz="4" w:space="0"/>
            </w:tcBorders>
            <w:noWrap w:val="0"/>
            <w:vAlign w:val="center"/>
          </w:tcPr>
          <w:p w14:paraId="70782D8F">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0.5</w:t>
            </w:r>
          </w:p>
        </w:tc>
        <w:tc>
          <w:tcPr>
            <w:tcW w:w="1306" w:type="dxa"/>
            <w:tcBorders>
              <w:top w:val="single" w:color="auto" w:sz="6" w:space="0"/>
              <w:left w:val="single" w:color="auto" w:sz="4" w:space="0"/>
              <w:bottom w:val="single" w:color="auto" w:sz="4" w:space="0"/>
              <w:right w:val="single" w:color="auto" w:sz="4" w:space="0"/>
            </w:tcBorders>
            <w:noWrap w:val="0"/>
            <w:vAlign w:val="center"/>
          </w:tcPr>
          <w:p w14:paraId="73CC39A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6" w:space="0"/>
              <w:left w:val="single" w:color="auto" w:sz="4" w:space="0"/>
              <w:bottom w:val="single" w:color="auto" w:sz="4" w:space="0"/>
              <w:right w:val="single" w:color="auto" w:sz="6" w:space="0"/>
            </w:tcBorders>
            <w:noWrap w:val="0"/>
            <w:vAlign w:val="center"/>
          </w:tcPr>
          <w:p w14:paraId="34E6CFD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6" w:space="0"/>
              <w:left w:val="single" w:color="auto" w:sz="6" w:space="0"/>
              <w:bottom w:val="single" w:color="auto" w:sz="4" w:space="0"/>
              <w:right w:val="single" w:color="auto" w:sz="4" w:space="0"/>
            </w:tcBorders>
            <w:noWrap w:val="0"/>
            <w:vAlign w:val="center"/>
          </w:tcPr>
          <w:p w14:paraId="6D31315A">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4" w:space="0"/>
              <w:right w:val="single" w:color="auto" w:sz="4" w:space="0"/>
            </w:tcBorders>
            <w:noWrap w:val="0"/>
            <w:vAlign w:val="center"/>
          </w:tcPr>
          <w:p w14:paraId="57F5DC4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71E3845F">
        <w:tblPrEx>
          <w:tblCellMar>
            <w:top w:w="0" w:type="dxa"/>
            <w:left w:w="28" w:type="dxa"/>
            <w:bottom w:w="0" w:type="dxa"/>
            <w:right w:w="28" w:type="dxa"/>
          </w:tblCellMar>
        </w:tblPrEx>
        <w:trPr>
          <w:cantSplit/>
          <w:trHeight w:val="329" w:hRule="atLeast"/>
          <w:jc w:val="center"/>
        </w:trPr>
        <w:tc>
          <w:tcPr>
            <w:tcW w:w="1361" w:type="dxa"/>
            <w:vMerge w:val="continue"/>
            <w:tcBorders>
              <w:left w:val="single" w:color="auto" w:sz="4" w:space="0"/>
              <w:bottom w:val="single" w:color="auto" w:sz="4" w:space="0"/>
              <w:right w:val="single" w:color="auto" w:sz="6" w:space="0"/>
            </w:tcBorders>
            <w:noWrap w:val="0"/>
            <w:vAlign w:val="center"/>
          </w:tcPr>
          <w:p w14:paraId="40BB5DC0">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6" w:space="0"/>
              <w:left w:val="single" w:color="auto" w:sz="6" w:space="0"/>
              <w:bottom w:val="single" w:color="auto" w:sz="4" w:space="0"/>
              <w:right w:val="single" w:color="auto" w:sz="6" w:space="0"/>
            </w:tcBorders>
            <w:noWrap w:val="0"/>
            <w:vAlign w:val="center"/>
          </w:tcPr>
          <w:p w14:paraId="5264E6E2">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4" w:space="0"/>
              <w:right w:val="single" w:color="auto" w:sz="6" w:space="0"/>
            </w:tcBorders>
            <w:noWrap w:val="0"/>
            <w:vAlign w:val="center"/>
          </w:tcPr>
          <w:p w14:paraId="1B4B3EAE">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0.6</w:t>
            </w:r>
          </w:p>
        </w:tc>
        <w:tc>
          <w:tcPr>
            <w:tcW w:w="1111" w:type="dxa"/>
            <w:tcBorders>
              <w:top w:val="single" w:color="auto" w:sz="6" w:space="0"/>
              <w:left w:val="single" w:color="auto" w:sz="6" w:space="0"/>
              <w:bottom w:val="single" w:color="auto" w:sz="4" w:space="0"/>
              <w:right w:val="single" w:color="auto" w:sz="4" w:space="0"/>
            </w:tcBorders>
            <w:noWrap w:val="0"/>
            <w:vAlign w:val="center"/>
          </w:tcPr>
          <w:p w14:paraId="1388C9DB">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6" w:space="0"/>
              <w:left w:val="single" w:color="auto" w:sz="4" w:space="0"/>
              <w:bottom w:val="single" w:color="auto" w:sz="4" w:space="0"/>
              <w:right w:val="single" w:color="auto" w:sz="4" w:space="0"/>
            </w:tcBorders>
            <w:noWrap w:val="0"/>
            <w:vAlign w:val="center"/>
          </w:tcPr>
          <w:p w14:paraId="69CAE7DE">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6" w:space="0"/>
              <w:left w:val="single" w:color="auto" w:sz="4" w:space="0"/>
              <w:bottom w:val="single" w:color="auto" w:sz="4" w:space="0"/>
              <w:right w:val="single" w:color="auto" w:sz="6" w:space="0"/>
            </w:tcBorders>
            <w:noWrap w:val="0"/>
            <w:vAlign w:val="center"/>
          </w:tcPr>
          <w:p w14:paraId="28C77027">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6" w:space="0"/>
              <w:left w:val="single" w:color="auto" w:sz="6" w:space="0"/>
              <w:bottom w:val="single" w:color="auto" w:sz="4" w:space="0"/>
              <w:right w:val="single" w:color="auto" w:sz="4" w:space="0"/>
            </w:tcBorders>
            <w:noWrap w:val="0"/>
            <w:vAlign w:val="center"/>
          </w:tcPr>
          <w:p w14:paraId="0C5226EE">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4" w:space="0"/>
              <w:right w:val="single" w:color="auto" w:sz="4" w:space="0"/>
            </w:tcBorders>
            <w:noWrap w:val="0"/>
            <w:vAlign w:val="center"/>
          </w:tcPr>
          <w:p w14:paraId="060302D0">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5D4AEC4D">
        <w:tblPrEx>
          <w:tblCellMar>
            <w:top w:w="0" w:type="dxa"/>
            <w:left w:w="28" w:type="dxa"/>
            <w:bottom w:w="0" w:type="dxa"/>
            <w:right w:w="28" w:type="dxa"/>
          </w:tblCellMar>
        </w:tblPrEx>
        <w:trPr>
          <w:cantSplit/>
          <w:trHeight w:val="329" w:hRule="atLeast"/>
          <w:jc w:val="center"/>
        </w:trPr>
        <w:tc>
          <w:tcPr>
            <w:tcW w:w="1361" w:type="dxa"/>
            <w:vMerge w:val="restart"/>
            <w:tcBorders>
              <w:top w:val="single" w:color="auto" w:sz="4" w:space="0"/>
              <w:left w:val="single" w:color="auto" w:sz="4" w:space="0"/>
              <w:right w:val="single" w:color="auto" w:sz="6" w:space="0"/>
            </w:tcBorders>
            <w:noWrap w:val="0"/>
            <w:vAlign w:val="center"/>
          </w:tcPr>
          <w:p w14:paraId="3054B983">
            <w:pPr>
              <w:autoSpaceDE w:val="0"/>
              <w:autoSpaceDN w:val="0"/>
              <w:spacing w:line="360" w:lineRule="auto"/>
              <w:jc w:val="center"/>
              <w:textAlignment w:val="bottom"/>
              <w:rPr>
                <w:rFonts w:hint="eastAsia" w:ascii="宋体" w:hAnsi="宋体" w:eastAsia="宋体" w:cs="宋体"/>
                <w:b/>
                <w:bCs/>
                <w:color w:val="000000"/>
                <w:spacing w:val="10"/>
              </w:rPr>
            </w:pPr>
            <w:r>
              <w:rPr>
                <w:rFonts w:hint="eastAsia" w:ascii="宋体" w:hAnsi="宋体" w:eastAsia="宋体" w:cs="宋体"/>
                <w:b/>
                <w:bCs/>
                <w:color w:val="000000"/>
                <w:spacing w:val="10"/>
              </w:rPr>
              <w:t>汽油通气管管口</w:t>
            </w:r>
          </w:p>
        </w:tc>
        <w:tc>
          <w:tcPr>
            <w:tcW w:w="1343" w:type="dxa"/>
            <w:tcBorders>
              <w:top w:val="single" w:color="auto" w:sz="4" w:space="0"/>
              <w:left w:val="single" w:color="auto" w:sz="6" w:space="0"/>
              <w:bottom w:val="single" w:color="auto" w:sz="6" w:space="0"/>
              <w:right w:val="single" w:color="auto" w:sz="6" w:space="0"/>
            </w:tcBorders>
            <w:noWrap w:val="0"/>
            <w:vAlign w:val="center"/>
          </w:tcPr>
          <w:p w14:paraId="298AD338">
            <w:pPr>
              <w:adjustRightInd w:val="0"/>
              <w:spacing w:line="360" w:lineRule="auto"/>
              <w:jc w:val="center"/>
              <w:rPr>
                <w:rFonts w:hint="eastAsia" w:ascii="宋体" w:hAnsi="宋体" w:eastAsia="宋体" w:cs="宋体"/>
                <w:b/>
                <w:bCs/>
                <w:color w:val="000000"/>
                <w:spacing w:val="10"/>
              </w:rPr>
            </w:pPr>
            <w:r>
              <w:rPr>
                <w:rFonts w:hint="eastAsia" w:ascii="宋体" w:hAnsi="宋体" w:eastAsia="宋体" w:cs="宋体"/>
                <w:b/>
                <w:bCs/>
                <w:color w:val="000000"/>
              </w:rPr>
              <w:t>规范要求</w:t>
            </w:r>
          </w:p>
        </w:tc>
        <w:tc>
          <w:tcPr>
            <w:tcW w:w="1119" w:type="dxa"/>
            <w:tcBorders>
              <w:top w:val="single" w:color="auto" w:sz="4" w:space="0"/>
              <w:left w:val="single" w:color="auto" w:sz="6" w:space="0"/>
              <w:bottom w:val="single" w:color="auto" w:sz="6" w:space="0"/>
              <w:right w:val="single" w:color="auto" w:sz="6" w:space="0"/>
            </w:tcBorders>
            <w:noWrap w:val="0"/>
            <w:vAlign w:val="center"/>
          </w:tcPr>
          <w:p w14:paraId="199D21D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4" w:space="0"/>
              <w:left w:val="single" w:color="auto" w:sz="6" w:space="0"/>
              <w:bottom w:val="single" w:color="auto" w:sz="6" w:space="0"/>
              <w:right w:val="single" w:color="auto" w:sz="4" w:space="0"/>
            </w:tcBorders>
            <w:noWrap w:val="0"/>
            <w:vAlign w:val="center"/>
          </w:tcPr>
          <w:p w14:paraId="40D6FF9C">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4" w:space="0"/>
              <w:left w:val="single" w:color="auto" w:sz="4" w:space="0"/>
              <w:bottom w:val="single" w:color="auto" w:sz="6" w:space="0"/>
              <w:right w:val="single" w:color="auto" w:sz="4" w:space="0"/>
            </w:tcBorders>
            <w:noWrap w:val="0"/>
            <w:vAlign w:val="center"/>
          </w:tcPr>
          <w:p w14:paraId="388656C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4" w:space="0"/>
              <w:left w:val="single" w:color="auto" w:sz="4" w:space="0"/>
              <w:bottom w:val="single" w:color="auto" w:sz="6" w:space="0"/>
              <w:right w:val="single" w:color="auto" w:sz="6" w:space="0"/>
            </w:tcBorders>
            <w:noWrap w:val="0"/>
            <w:vAlign w:val="center"/>
          </w:tcPr>
          <w:p w14:paraId="4032868D">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4" w:space="0"/>
              <w:left w:val="single" w:color="auto" w:sz="6" w:space="0"/>
              <w:bottom w:val="single" w:color="auto" w:sz="6" w:space="0"/>
              <w:right w:val="single" w:color="auto" w:sz="4" w:space="0"/>
            </w:tcBorders>
            <w:noWrap w:val="0"/>
            <w:vAlign w:val="center"/>
          </w:tcPr>
          <w:p w14:paraId="7D3B2AD0">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4" w:space="0"/>
              <w:left w:val="single" w:color="auto" w:sz="6" w:space="0"/>
              <w:bottom w:val="single" w:color="auto" w:sz="6" w:space="0"/>
              <w:right w:val="single" w:color="auto" w:sz="4" w:space="0"/>
            </w:tcBorders>
            <w:noWrap w:val="0"/>
            <w:vAlign w:val="center"/>
          </w:tcPr>
          <w:p w14:paraId="6C91468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3</w:t>
            </w:r>
          </w:p>
        </w:tc>
      </w:tr>
      <w:tr w14:paraId="628BD1EC">
        <w:tblPrEx>
          <w:tblCellMar>
            <w:top w:w="0" w:type="dxa"/>
            <w:left w:w="28" w:type="dxa"/>
            <w:bottom w:w="0" w:type="dxa"/>
            <w:right w:w="28" w:type="dxa"/>
          </w:tblCellMar>
        </w:tblPrEx>
        <w:trPr>
          <w:cantSplit/>
          <w:trHeight w:val="330" w:hRule="atLeast"/>
          <w:jc w:val="center"/>
        </w:trPr>
        <w:tc>
          <w:tcPr>
            <w:tcW w:w="1361" w:type="dxa"/>
            <w:vMerge w:val="continue"/>
            <w:tcBorders>
              <w:left w:val="single" w:color="auto" w:sz="4" w:space="0"/>
              <w:bottom w:val="nil"/>
              <w:right w:val="single" w:color="auto" w:sz="6" w:space="0"/>
            </w:tcBorders>
            <w:noWrap w:val="0"/>
            <w:vAlign w:val="center"/>
          </w:tcPr>
          <w:p w14:paraId="105395B2">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4" w:space="0"/>
              <w:left w:val="single" w:color="auto" w:sz="6" w:space="0"/>
              <w:bottom w:val="single" w:color="auto" w:sz="6" w:space="0"/>
              <w:right w:val="single" w:color="auto" w:sz="6" w:space="0"/>
            </w:tcBorders>
            <w:noWrap w:val="0"/>
            <w:vAlign w:val="center"/>
          </w:tcPr>
          <w:p w14:paraId="4D857D0A">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4" w:space="0"/>
              <w:left w:val="single" w:color="auto" w:sz="6" w:space="0"/>
              <w:bottom w:val="single" w:color="auto" w:sz="6" w:space="0"/>
              <w:right w:val="single" w:color="auto" w:sz="6" w:space="0"/>
            </w:tcBorders>
            <w:noWrap w:val="0"/>
            <w:vAlign w:val="center"/>
          </w:tcPr>
          <w:p w14:paraId="60306960">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4" w:space="0"/>
              <w:left w:val="single" w:color="auto" w:sz="6" w:space="0"/>
              <w:bottom w:val="single" w:color="auto" w:sz="6" w:space="0"/>
              <w:right w:val="single" w:color="auto" w:sz="4" w:space="0"/>
            </w:tcBorders>
            <w:noWrap w:val="0"/>
            <w:vAlign w:val="center"/>
          </w:tcPr>
          <w:p w14:paraId="11AE125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4" w:space="0"/>
              <w:left w:val="single" w:color="auto" w:sz="4" w:space="0"/>
              <w:bottom w:val="single" w:color="auto" w:sz="6" w:space="0"/>
              <w:right w:val="single" w:color="auto" w:sz="4" w:space="0"/>
            </w:tcBorders>
            <w:noWrap w:val="0"/>
            <w:vAlign w:val="center"/>
          </w:tcPr>
          <w:p w14:paraId="53CE632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4" w:space="0"/>
              <w:left w:val="single" w:color="auto" w:sz="4" w:space="0"/>
              <w:bottom w:val="single" w:color="auto" w:sz="6" w:space="0"/>
              <w:right w:val="single" w:color="auto" w:sz="6" w:space="0"/>
            </w:tcBorders>
            <w:noWrap w:val="0"/>
            <w:vAlign w:val="center"/>
          </w:tcPr>
          <w:p w14:paraId="30043316">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4" w:space="0"/>
              <w:left w:val="single" w:color="auto" w:sz="6" w:space="0"/>
              <w:bottom w:val="single" w:color="auto" w:sz="6" w:space="0"/>
              <w:right w:val="single" w:color="auto" w:sz="4" w:space="0"/>
            </w:tcBorders>
            <w:noWrap w:val="0"/>
            <w:vAlign w:val="center"/>
          </w:tcPr>
          <w:p w14:paraId="7CB3BCC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4" w:space="0"/>
              <w:left w:val="single" w:color="auto" w:sz="6" w:space="0"/>
              <w:bottom w:val="single" w:color="auto" w:sz="6" w:space="0"/>
              <w:right w:val="single" w:color="auto" w:sz="4" w:space="0"/>
            </w:tcBorders>
            <w:noWrap w:val="0"/>
            <w:vAlign w:val="center"/>
          </w:tcPr>
          <w:p w14:paraId="2DBE67E2">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w:t>
            </w:r>
          </w:p>
        </w:tc>
      </w:tr>
      <w:tr w14:paraId="72DCCFA3">
        <w:tblPrEx>
          <w:tblCellMar>
            <w:top w:w="0" w:type="dxa"/>
            <w:left w:w="28" w:type="dxa"/>
            <w:bottom w:w="0" w:type="dxa"/>
            <w:right w:w="28" w:type="dxa"/>
          </w:tblCellMar>
        </w:tblPrEx>
        <w:trPr>
          <w:cantSplit/>
          <w:trHeight w:val="330" w:hRule="atLeast"/>
          <w:jc w:val="center"/>
        </w:trPr>
        <w:tc>
          <w:tcPr>
            <w:tcW w:w="1361" w:type="dxa"/>
            <w:vMerge w:val="restart"/>
            <w:tcBorders>
              <w:top w:val="single" w:color="auto" w:sz="4" w:space="0"/>
              <w:left w:val="single" w:color="auto" w:sz="4" w:space="0"/>
              <w:right w:val="single" w:color="auto" w:sz="6" w:space="0"/>
            </w:tcBorders>
            <w:noWrap w:val="0"/>
            <w:vAlign w:val="center"/>
          </w:tcPr>
          <w:p w14:paraId="0162344F">
            <w:pPr>
              <w:autoSpaceDE w:val="0"/>
              <w:autoSpaceDN w:val="0"/>
              <w:spacing w:line="360" w:lineRule="auto"/>
              <w:jc w:val="center"/>
              <w:textAlignment w:val="bottom"/>
              <w:rPr>
                <w:rFonts w:hint="eastAsia" w:ascii="宋体" w:hAnsi="宋体" w:eastAsia="宋体" w:cs="宋体"/>
                <w:b/>
                <w:bCs/>
                <w:color w:val="000000"/>
                <w:spacing w:val="20"/>
              </w:rPr>
            </w:pPr>
            <w:r>
              <w:rPr>
                <w:rFonts w:hint="eastAsia" w:ascii="宋体" w:hAnsi="宋体" w:eastAsia="宋体" w:cs="宋体"/>
                <w:b/>
                <w:bCs/>
                <w:color w:val="000000"/>
                <w:spacing w:val="10"/>
              </w:rPr>
              <w:t>柴油通气管管口</w:t>
            </w:r>
          </w:p>
        </w:tc>
        <w:tc>
          <w:tcPr>
            <w:tcW w:w="1343" w:type="dxa"/>
            <w:tcBorders>
              <w:top w:val="single" w:color="auto" w:sz="4" w:space="0"/>
              <w:left w:val="single" w:color="auto" w:sz="6" w:space="0"/>
              <w:bottom w:val="single" w:color="auto" w:sz="6" w:space="0"/>
              <w:right w:val="single" w:color="auto" w:sz="6" w:space="0"/>
            </w:tcBorders>
            <w:noWrap w:val="0"/>
            <w:vAlign w:val="center"/>
          </w:tcPr>
          <w:p w14:paraId="2A005B1B">
            <w:pPr>
              <w:adjustRightInd w:val="0"/>
              <w:spacing w:line="360" w:lineRule="auto"/>
              <w:jc w:val="center"/>
              <w:rPr>
                <w:rFonts w:hint="eastAsia" w:ascii="宋体" w:hAnsi="宋体" w:eastAsia="宋体" w:cs="宋体"/>
                <w:b/>
                <w:bCs/>
                <w:color w:val="000000"/>
                <w:spacing w:val="10"/>
              </w:rPr>
            </w:pPr>
            <w:r>
              <w:rPr>
                <w:rFonts w:hint="eastAsia" w:ascii="宋体" w:hAnsi="宋体" w:eastAsia="宋体" w:cs="宋体"/>
                <w:b/>
                <w:bCs/>
                <w:color w:val="000000"/>
              </w:rPr>
              <w:t>规范要求</w:t>
            </w:r>
          </w:p>
        </w:tc>
        <w:tc>
          <w:tcPr>
            <w:tcW w:w="1119" w:type="dxa"/>
            <w:tcBorders>
              <w:top w:val="single" w:color="auto" w:sz="4" w:space="0"/>
              <w:left w:val="single" w:color="auto" w:sz="6" w:space="0"/>
              <w:bottom w:val="single" w:color="auto" w:sz="6" w:space="0"/>
              <w:right w:val="single" w:color="auto" w:sz="6" w:space="0"/>
            </w:tcBorders>
            <w:noWrap w:val="0"/>
            <w:vAlign w:val="center"/>
          </w:tcPr>
          <w:p w14:paraId="0780C15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4" w:space="0"/>
              <w:left w:val="single" w:color="auto" w:sz="6" w:space="0"/>
              <w:bottom w:val="single" w:color="auto" w:sz="6" w:space="0"/>
              <w:right w:val="single" w:color="auto" w:sz="4" w:space="0"/>
            </w:tcBorders>
            <w:noWrap w:val="0"/>
            <w:vAlign w:val="center"/>
          </w:tcPr>
          <w:p w14:paraId="42844155">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4" w:space="0"/>
              <w:left w:val="single" w:color="auto" w:sz="4" w:space="0"/>
              <w:bottom w:val="single" w:color="auto" w:sz="6" w:space="0"/>
              <w:right w:val="single" w:color="auto" w:sz="4" w:space="0"/>
            </w:tcBorders>
            <w:noWrap w:val="0"/>
            <w:vAlign w:val="center"/>
          </w:tcPr>
          <w:p w14:paraId="67FDE6DD">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4" w:space="0"/>
              <w:left w:val="single" w:color="auto" w:sz="4" w:space="0"/>
              <w:bottom w:val="single" w:color="auto" w:sz="6" w:space="0"/>
              <w:right w:val="single" w:color="auto" w:sz="6" w:space="0"/>
            </w:tcBorders>
            <w:noWrap w:val="0"/>
            <w:vAlign w:val="center"/>
          </w:tcPr>
          <w:p w14:paraId="5DE9F10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4" w:space="0"/>
              <w:left w:val="single" w:color="auto" w:sz="6" w:space="0"/>
              <w:bottom w:val="single" w:color="auto" w:sz="6" w:space="0"/>
              <w:right w:val="single" w:color="auto" w:sz="4" w:space="0"/>
            </w:tcBorders>
            <w:noWrap w:val="0"/>
            <w:vAlign w:val="center"/>
          </w:tcPr>
          <w:p w14:paraId="7CBC389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4" w:space="0"/>
              <w:left w:val="single" w:color="auto" w:sz="6" w:space="0"/>
              <w:bottom w:val="single" w:color="auto" w:sz="6" w:space="0"/>
              <w:right w:val="single" w:color="auto" w:sz="4" w:space="0"/>
            </w:tcBorders>
            <w:noWrap w:val="0"/>
            <w:vAlign w:val="center"/>
          </w:tcPr>
          <w:p w14:paraId="2065249D">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2</w:t>
            </w:r>
          </w:p>
        </w:tc>
      </w:tr>
      <w:tr w14:paraId="3D8461A5">
        <w:tblPrEx>
          <w:tblCellMar>
            <w:top w:w="0" w:type="dxa"/>
            <w:left w:w="28" w:type="dxa"/>
            <w:bottom w:w="0" w:type="dxa"/>
            <w:right w:w="28" w:type="dxa"/>
          </w:tblCellMar>
        </w:tblPrEx>
        <w:trPr>
          <w:cantSplit/>
          <w:trHeight w:val="90" w:hRule="atLeast"/>
          <w:jc w:val="center"/>
        </w:trPr>
        <w:tc>
          <w:tcPr>
            <w:tcW w:w="1361" w:type="dxa"/>
            <w:vMerge w:val="continue"/>
            <w:tcBorders>
              <w:left w:val="single" w:color="auto" w:sz="4" w:space="0"/>
              <w:bottom w:val="nil"/>
              <w:right w:val="single" w:color="auto" w:sz="6" w:space="0"/>
            </w:tcBorders>
            <w:noWrap w:val="0"/>
            <w:vAlign w:val="center"/>
          </w:tcPr>
          <w:p w14:paraId="3C4D6F4F">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4" w:space="0"/>
              <w:left w:val="single" w:color="auto" w:sz="6" w:space="0"/>
              <w:bottom w:val="single" w:color="auto" w:sz="6" w:space="0"/>
              <w:right w:val="single" w:color="auto" w:sz="6" w:space="0"/>
            </w:tcBorders>
            <w:noWrap w:val="0"/>
            <w:vAlign w:val="center"/>
          </w:tcPr>
          <w:p w14:paraId="6BB30C9F">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4" w:space="0"/>
              <w:left w:val="single" w:color="auto" w:sz="6" w:space="0"/>
              <w:bottom w:val="single" w:color="auto" w:sz="6" w:space="0"/>
              <w:right w:val="single" w:color="auto" w:sz="6" w:space="0"/>
            </w:tcBorders>
            <w:noWrap w:val="0"/>
            <w:vAlign w:val="center"/>
          </w:tcPr>
          <w:p w14:paraId="113FCEC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4" w:space="0"/>
              <w:left w:val="single" w:color="auto" w:sz="6" w:space="0"/>
              <w:bottom w:val="single" w:color="auto" w:sz="6" w:space="0"/>
              <w:right w:val="single" w:color="auto" w:sz="4" w:space="0"/>
            </w:tcBorders>
            <w:noWrap w:val="0"/>
            <w:vAlign w:val="center"/>
          </w:tcPr>
          <w:p w14:paraId="7A88B7BC">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4" w:space="0"/>
              <w:left w:val="single" w:color="auto" w:sz="4" w:space="0"/>
              <w:bottom w:val="single" w:color="auto" w:sz="6" w:space="0"/>
              <w:right w:val="single" w:color="auto" w:sz="4" w:space="0"/>
            </w:tcBorders>
            <w:noWrap w:val="0"/>
            <w:vAlign w:val="center"/>
          </w:tcPr>
          <w:p w14:paraId="7A94BDE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232" w:type="dxa"/>
            <w:tcBorders>
              <w:top w:val="single" w:color="auto" w:sz="4" w:space="0"/>
              <w:left w:val="single" w:color="auto" w:sz="4" w:space="0"/>
              <w:bottom w:val="single" w:color="auto" w:sz="6" w:space="0"/>
              <w:right w:val="single" w:color="auto" w:sz="6" w:space="0"/>
            </w:tcBorders>
            <w:noWrap w:val="0"/>
            <w:vAlign w:val="center"/>
          </w:tcPr>
          <w:p w14:paraId="5BAD46C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858" w:type="dxa"/>
            <w:tcBorders>
              <w:top w:val="single" w:color="auto" w:sz="4" w:space="0"/>
              <w:left w:val="single" w:color="auto" w:sz="6" w:space="0"/>
              <w:bottom w:val="single" w:color="auto" w:sz="6" w:space="0"/>
              <w:right w:val="single" w:color="auto" w:sz="4" w:space="0"/>
            </w:tcBorders>
            <w:noWrap w:val="0"/>
            <w:vAlign w:val="center"/>
          </w:tcPr>
          <w:p w14:paraId="28A68B0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4" w:space="0"/>
              <w:left w:val="single" w:color="auto" w:sz="6" w:space="0"/>
              <w:bottom w:val="single" w:color="auto" w:sz="6" w:space="0"/>
              <w:right w:val="single" w:color="auto" w:sz="4" w:space="0"/>
            </w:tcBorders>
            <w:noWrap w:val="0"/>
            <w:vAlign w:val="center"/>
          </w:tcPr>
          <w:p w14:paraId="44748DDB">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w:t>
            </w:r>
          </w:p>
        </w:tc>
      </w:tr>
      <w:tr w14:paraId="30244A0C">
        <w:tblPrEx>
          <w:tblCellMar>
            <w:top w:w="0" w:type="dxa"/>
            <w:left w:w="28" w:type="dxa"/>
            <w:bottom w:w="0" w:type="dxa"/>
            <w:right w:w="28" w:type="dxa"/>
          </w:tblCellMar>
        </w:tblPrEx>
        <w:trPr>
          <w:cantSplit/>
          <w:trHeight w:val="330" w:hRule="atLeast"/>
          <w:jc w:val="center"/>
        </w:trPr>
        <w:tc>
          <w:tcPr>
            <w:tcW w:w="1361" w:type="dxa"/>
            <w:vMerge w:val="restart"/>
            <w:tcBorders>
              <w:top w:val="single" w:color="auto" w:sz="4" w:space="0"/>
              <w:left w:val="single" w:color="auto" w:sz="4" w:space="0"/>
              <w:bottom w:val="single" w:color="auto" w:sz="4" w:space="0"/>
              <w:right w:val="single" w:color="auto" w:sz="4" w:space="0"/>
            </w:tcBorders>
            <w:noWrap w:val="0"/>
            <w:vAlign w:val="center"/>
          </w:tcPr>
          <w:p w14:paraId="648EE0FC">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油品卸车点</w:t>
            </w:r>
          </w:p>
        </w:tc>
        <w:tc>
          <w:tcPr>
            <w:tcW w:w="1343" w:type="dxa"/>
            <w:tcBorders>
              <w:top w:val="single" w:color="auto" w:sz="6" w:space="0"/>
              <w:left w:val="single" w:color="auto" w:sz="4" w:space="0"/>
              <w:bottom w:val="single" w:color="auto" w:sz="6" w:space="0"/>
              <w:right w:val="single" w:color="auto" w:sz="6" w:space="0"/>
            </w:tcBorders>
            <w:noWrap w:val="0"/>
            <w:vAlign w:val="center"/>
          </w:tcPr>
          <w:p w14:paraId="496F70CE">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7E9C2B35">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18FD9AA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4049F022">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3</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0AED919B">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2</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2F6B733C">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68A1356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0C0F61C2">
        <w:tblPrEx>
          <w:tblCellMar>
            <w:top w:w="0" w:type="dxa"/>
            <w:left w:w="28" w:type="dxa"/>
            <w:bottom w:w="0" w:type="dxa"/>
            <w:right w:w="28" w:type="dxa"/>
          </w:tblCellMar>
        </w:tblPrEx>
        <w:trPr>
          <w:cantSplit/>
          <w:trHeight w:val="330" w:hRule="atLeast"/>
          <w:jc w:val="center"/>
        </w:trPr>
        <w:tc>
          <w:tcPr>
            <w:tcW w:w="1361" w:type="dxa"/>
            <w:vMerge w:val="continue"/>
            <w:tcBorders>
              <w:top w:val="single" w:color="auto" w:sz="4" w:space="0"/>
              <w:left w:val="single" w:color="auto" w:sz="4" w:space="0"/>
              <w:bottom w:val="single" w:color="auto" w:sz="4" w:space="0"/>
              <w:right w:val="single" w:color="auto" w:sz="4" w:space="0"/>
            </w:tcBorders>
            <w:noWrap w:val="0"/>
            <w:vAlign w:val="center"/>
          </w:tcPr>
          <w:p w14:paraId="0AF73529">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6" w:space="0"/>
              <w:left w:val="single" w:color="auto" w:sz="4" w:space="0"/>
              <w:bottom w:val="single" w:color="auto" w:sz="6" w:space="0"/>
              <w:right w:val="single" w:color="auto" w:sz="6" w:space="0"/>
            </w:tcBorders>
            <w:noWrap w:val="0"/>
            <w:vAlign w:val="center"/>
          </w:tcPr>
          <w:p w14:paraId="114D8CA9">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1434AD8B">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0F23F81E">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3F701D28">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07C0FB6C">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25</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535AB09C">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42A9A851">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5F1F4623">
        <w:tblPrEx>
          <w:tblCellMar>
            <w:top w:w="0" w:type="dxa"/>
            <w:left w:w="28" w:type="dxa"/>
            <w:bottom w:w="0" w:type="dxa"/>
            <w:right w:w="28" w:type="dxa"/>
          </w:tblCellMar>
        </w:tblPrEx>
        <w:trPr>
          <w:cantSplit/>
          <w:trHeight w:val="330" w:hRule="atLeast"/>
          <w:jc w:val="center"/>
        </w:trPr>
        <w:tc>
          <w:tcPr>
            <w:tcW w:w="1361" w:type="dxa"/>
            <w:vMerge w:val="restart"/>
            <w:tcBorders>
              <w:top w:val="single" w:color="auto" w:sz="4" w:space="0"/>
              <w:left w:val="single" w:color="auto" w:sz="4" w:space="0"/>
              <w:bottom w:val="single" w:color="auto" w:sz="4" w:space="0"/>
              <w:right w:val="single" w:color="auto" w:sz="4" w:space="0"/>
            </w:tcBorders>
            <w:noWrap w:val="0"/>
            <w:vAlign w:val="center"/>
          </w:tcPr>
          <w:p w14:paraId="0D6DAA3E">
            <w:pPr>
              <w:autoSpaceDE w:val="0"/>
              <w:autoSpaceDN w:val="0"/>
              <w:spacing w:line="360" w:lineRule="auto"/>
              <w:jc w:val="center"/>
              <w:textAlignment w:val="bottom"/>
              <w:rPr>
                <w:rFonts w:hint="eastAsia" w:ascii="宋体" w:hAnsi="宋体" w:eastAsia="宋体" w:cs="宋体"/>
                <w:b/>
                <w:bCs/>
                <w:color w:val="000000"/>
              </w:rPr>
            </w:pPr>
            <w:r>
              <w:rPr>
                <w:rFonts w:hint="eastAsia" w:ascii="宋体" w:hAnsi="宋体" w:eastAsia="宋体" w:cs="宋体"/>
                <w:b/>
                <w:bCs/>
                <w:color w:val="000000"/>
              </w:rPr>
              <w:t>站房</w:t>
            </w:r>
          </w:p>
        </w:tc>
        <w:tc>
          <w:tcPr>
            <w:tcW w:w="1343" w:type="dxa"/>
            <w:tcBorders>
              <w:top w:val="single" w:color="auto" w:sz="6" w:space="0"/>
              <w:left w:val="single" w:color="auto" w:sz="4" w:space="0"/>
              <w:bottom w:val="single" w:color="auto" w:sz="6" w:space="0"/>
              <w:right w:val="single" w:color="auto" w:sz="6" w:space="0"/>
            </w:tcBorders>
            <w:noWrap w:val="0"/>
            <w:vAlign w:val="center"/>
          </w:tcPr>
          <w:p w14:paraId="45B8DD54">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7E5DD63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4</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05231EEB">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3</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1506C7BD">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4</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5DE1AD42">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3.5</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5042977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bottom"/>
              <w:rPr>
                <w:rFonts w:hint="default" w:ascii="宋体" w:hAnsi="宋体" w:eastAsia="宋体" w:cs="宋体"/>
                <w:color w:val="000000"/>
                <w:szCs w:val="21"/>
                <w:lang w:val="en-US" w:eastAsia="zh-CN"/>
              </w:rPr>
            </w:pPr>
            <w:r>
              <w:rPr>
                <w:rFonts w:hint="eastAsia" w:ascii="宋体" w:hAnsi="宋体" w:eastAsia="宋体" w:cs="宋体"/>
                <w:color w:val="000000"/>
                <w:szCs w:val="21"/>
              </w:rPr>
              <w:t>5</w:t>
            </w:r>
            <w:r>
              <w:rPr>
                <w:rFonts w:hint="eastAsia" w:ascii="宋体" w:hAnsi="宋体" w:cs="宋体"/>
                <w:color w:val="000000"/>
                <w:szCs w:val="21"/>
                <w:lang w:eastAsia="zh-CN"/>
              </w:rPr>
              <w:t>（</w:t>
            </w:r>
            <w:r>
              <w:rPr>
                <w:rFonts w:hint="eastAsia" w:ascii="宋体" w:hAnsi="宋体" w:cs="宋体"/>
                <w:color w:val="000000"/>
                <w:szCs w:val="21"/>
                <w:lang w:val="en-US" w:eastAsia="zh-CN"/>
              </w:rPr>
              <w:t>4）</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6C108CF8">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5</w:t>
            </w:r>
          </w:p>
        </w:tc>
      </w:tr>
      <w:tr w14:paraId="3D663C21">
        <w:tblPrEx>
          <w:tblCellMar>
            <w:top w:w="0" w:type="dxa"/>
            <w:left w:w="28" w:type="dxa"/>
            <w:bottom w:w="0" w:type="dxa"/>
            <w:right w:w="28" w:type="dxa"/>
          </w:tblCellMar>
        </w:tblPrEx>
        <w:trPr>
          <w:cantSplit/>
          <w:trHeight w:val="330" w:hRule="atLeast"/>
          <w:jc w:val="center"/>
        </w:trPr>
        <w:tc>
          <w:tcPr>
            <w:tcW w:w="1361" w:type="dxa"/>
            <w:vMerge w:val="continue"/>
            <w:tcBorders>
              <w:top w:val="single" w:color="auto" w:sz="4" w:space="0"/>
              <w:left w:val="single" w:color="auto" w:sz="4" w:space="0"/>
              <w:bottom w:val="single" w:color="auto" w:sz="4" w:space="0"/>
              <w:right w:val="single" w:color="auto" w:sz="4" w:space="0"/>
            </w:tcBorders>
            <w:noWrap w:val="0"/>
            <w:vAlign w:val="center"/>
          </w:tcPr>
          <w:p w14:paraId="08DFA148">
            <w:pPr>
              <w:autoSpaceDE w:val="0"/>
              <w:autoSpaceDN w:val="0"/>
              <w:spacing w:line="360" w:lineRule="auto"/>
              <w:ind w:firstLine="422"/>
              <w:jc w:val="center"/>
              <w:textAlignment w:val="bottom"/>
              <w:rPr>
                <w:rFonts w:hint="eastAsia" w:ascii="宋体" w:hAnsi="宋体" w:eastAsia="宋体" w:cs="宋体"/>
                <w:b/>
                <w:bCs/>
                <w:color w:val="000000"/>
              </w:rPr>
            </w:pPr>
          </w:p>
        </w:tc>
        <w:tc>
          <w:tcPr>
            <w:tcW w:w="1343" w:type="dxa"/>
            <w:tcBorders>
              <w:top w:val="single" w:color="auto" w:sz="6" w:space="0"/>
              <w:left w:val="single" w:color="auto" w:sz="4" w:space="0"/>
              <w:bottom w:val="single" w:color="auto" w:sz="6" w:space="0"/>
              <w:right w:val="single" w:color="auto" w:sz="6" w:space="0"/>
            </w:tcBorders>
            <w:noWrap w:val="0"/>
            <w:vAlign w:val="center"/>
          </w:tcPr>
          <w:p w14:paraId="6542B2C0">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237C49C4">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7.6</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6B4B3844">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16.8</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7C2D9037">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6</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07689800">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6</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7CCFB43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w:t>
            </w:r>
            <w:r>
              <w:rPr>
                <w:rFonts w:hint="eastAsia" w:ascii="宋体" w:hAnsi="宋体" w:eastAsia="宋体" w:cs="宋体"/>
                <w:color w:val="000000"/>
                <w:szCs w:val="21"/>
              </w:rPr>
              <w:t xml:space="preserve"> </w:t>
            </w:r>
            <w:r>
              <w:rPr>
                <w:rFonts w:hint="eastAsia" w:ascii="宋体" w:hAnsi="宋体" w:cs="宋体"/>
                <w:color w:val="000000"/>
                <w:szCs w:val="21"/>
                <w:lang w:eastAsia="zh-CN"/>
              </w:rPr>
              <w:t>（</w:t>
            </w:r>
            <w:r>
              <w:rPr>
                <w:rFonts w:hint="eastAsia" w:ascii="宋体" w:hAnsi="宋体" w:cs="宋体"/>
                <w:color w:val="000000"/>
                <w:szCs w:val="21"/>
                <w:lang w:val="en-US" w:eastAsia="zh-CN"/>
              </w:rPr>
              <w:t>6）</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2488BD01">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11.6</w:t>
            </w:r>
          </w:p>
        </w:tc>
      </w:tr>
      <w:tr w14:paraId="05518BAB">
        <w:tblPrEx>
          <w:tblCellMar>
            <w:top w:w="0" w:type="dxa"/>
            <w:left w:w="28" w:type="dxa"/>
            <w:bottom w:w="0" w:type="dxa"/>
            <w:right w:w="28" w:type="dxa"/>
          </w:tblCellMar>
        </w:tblPrEx>
        <w:trPr>
          <w:cantSplit/>
          <w:trHeight w:val="330" w:hRule="atLeast"/>
          <w:jc w:val="center"/>
        </w:trPr>
        <w:tc>
          <w:tcPr>
            <w:tcW w:w="1361" w:type="dxa"/>
            <w:vMerge w:val="restart"/>
            <w:tcBorders>
              <w:top w:val="single" w:color="auto" w:sz="4" w:space="0"/>
              <w:left w:val="single" w:color="auto" w:sz="4" w:space="0"/>
              <w:bottom w:val="single" w:color="auto" w:sz="4" w:space="0"/>
              <w:right w:val="single" w:color="auto" w:sz="4" w:space="0"/>
            </w:tcBorders>
            <w:noWrap w:val="0"/>
            <w:vAlign w:val="center"/>
          </w:tcPr>
          <w:p w14:paraId="39E820E1">
            <w:pPr>
              <w:autoSpaceDE w:val="0"/>
              <w:autoSpaceDN w:val="0"/>
              <w:spacing w:line="360" w:lineRule="auto"/>
              <w:jc w:val="center"/>
              <w:textAlignment w:val="bottom"/>
              <w:rPr>
                <w:rFonts w:hint="eastAsia" w:ascii="宋体" w:hAnsi="宋体" w:eastAsia="宋体" w:cs="宋体"/>
                <w:b/>
                <w:bCs/>
                <w:color w:val="FF0000"/>
              </w:rPr>
            </w:pPr>
            <w:r>
              <w:rPr>
                <w:rFonts w:hint="eastAsia" w:ascii="宋体" w:hAnsi="宋体" w:cs="宋体"/>
                <w:b/>
                <w:bCs/>
                <w:color w:val="000000"/>
                <w:lang w:val="en-US" w:eastAsia="zh-CN"/>
              </w:rPr>
              <w:t>战区</w:t>
            </w:r>
            <w:r>
              <w:rPr>
                <w:rFonts w:hint="eastAsia" w:ascii="宋体" w:hAnsi="宋体" w:eastAsia="宋体" w:cs="宋体"/>
                <w:b/>
                <w:bCs/>
                <w:color w:val="000000"/>
              </w:rPr>
              <w:t>围墙</w:t>
            </w:r>
          </w:p>
        </w:tc>
        <w:tc>
          <w:tcPr>
            <w:tcW w:w="1343" w:type="dxa"/>
            <w:tcBorders>
              <w:top w:val="single" w:color="auto" w:sz="6" w:space="0"/>
              <w:left w:val="single" w:color="auto" w:sz="4" w:space="0"/>
              <w:bottom w:val="single" w:color="auto" w:sz="6" w:space="0"/>
              <w:right w:val="single" w:color="auto" w:sz="6" w:space="0"/>
            </w:tcBorders>
            <w:noWrap w:val="0"/>
            <w:vAlign w:val="center"/>
          </w:tcPr>
          <w:p w14:paraId="44E73839">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090F5658">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2</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28B54FEE">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2</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6F2DB817">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3</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5215C613">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2</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03FC516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1978147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1498158C">
        <w:tblPrEx>
          <w:tblCellMar>
            <w:top w:w="0" w:type="dxa"/>
            <w:left w:w="28" w:type="dxa"/>
            <w:bottom w:w="0" w:type="dxa"/>
            <w:right w:w="28" w:type="dxa"/>
          </w:tblCellMar>
        </w:tblPrEx>
        <w:trPr>
          <w:cantSplit/>
          <w:trHeight w:val="330" w:hRule="atLeast"/>
          <w:jc w:val="center"/>
        </w:trPr>
        <w:tc>
          <w:tcPr>
            <w:tcW w:w="1361" w:type="dxa"/>
            <w:vMerge w:val="continue"/>
            <w:tcBorders>
              <w:top w:val="single" w:color="auto" w:sz="4" w:space="0"/>
              <w:left w:val="single" w:color="auto" w:sz="4" w:space="0"/>
              <w:bottom w:val="single" w:color="auto" w:sz="4" w:space="0"/>
              <w:right w:val="single" w:color="auto" w:sz="4" w:space="0"/>
            </w:tcBorders>
            <w:noWrap w:val="0"/>
            <w:vAlign w:val="center"/>
          </w:tcPr>
          <w:p w14:paraId="3354FBCC">
            <w:pPr>
              <w:autoSpaceDE w:val="0"/>
              <w:autoSpaceDN w:val="0"/>
              <w:spacing w:line="360" w:lineRule="auto"/>
              <w:jc w:val="center"/>
              <w:textAlignment w:val="bottom"/>
              <w:rPr>
                <w:rFonts w:hint="eastAsia" w:ascii="宋体" w:hAnsi="宋体" w:eastAsia="宋体" w:cs="宋体"/>
                <w:b/>
                <w:bCs/>
                <w:color w:val="FF0000"/>
              </w:rPr>
            </w:pPr>
          </w:p>
        </w:tc>
        <w:tc>
          <w:tcPr>
            <w:tcW w:w="1343" w:type="dxa"/>
            <w:tcBorders>
              <w:top w:val="single" w:color="auto" w:sz="6" w:space="0"/>
              <w:left w:val="single" w:color="auto" w:sz="4" w:space="0"/>
              <w:bottom w:val="single" w:color="auto" w:sz="6" w:space="0"/>
              <w:right w:val="single" w:color="auto" w:sz="6" w:space="0"/>
            </w:tcBorders>
            <w:noWrap w:val="0"/>
            <w:vAlign w:val="center"/>
          </w:tcPr>
          <w:p w14:paraId="1E3495F0">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161D1454">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5</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5D9D2FA6">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5</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6964F2ED">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136D5115">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16</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20FA802A">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6B794EFF">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w:t>
            </w:r>
          </w:p>
        </w:tc>
      </w:tr>
      <w:tr w14:paraId="30597B3B">
        <w:tblPrEx>
          <w:tblCellMar>
            <w:top w:w="0" w:type="dxa"/>
            <w:left w:w="28" w:type="dxa"/>
            <w:bottom w:w="0" w:type="dxa"/>
            <w:right w:w="28" w:type="dxa"/>
          </w:tblCellMar>
        </w:tblPrEx>
        <w:trPr>
          <w:cantSplit/>
          <w:trHeight w:val="330" w:hRule="atLeast"/>
          <w:jc w:val="center"/>
        </w:trPr>
        <w:tc>
          <w:tcPr>
            <w:tcW w:w="1361" w:type="dxa"/>
            <w:vMerge w:val="restart"/>
            <w:tcBorders>
              <w:top w:val="single" w:color="auto" w:sz="4" w:space="0"/>
              <w:left w:val="single" w:color="auto" w:sz="4" w:space="0"/>
              <w:right w:val="single" w:color="auto" w:sz="4" w:space="0"/>
            </w:tcBorders>
            <w:noWrap w:val="0"/>
            <w:vAlign w:val="center"/>
          </w:tcPr>
          <w:p w14:paraId="3BAEC04F">
            <w:pPr>
              <w:autoSpaceDE w:val="0"/>
              <w:autoSpaceDN w:val="0"/>
              <w:spacing w:line="360" w:lineRule="auto"/>
              <w:jc w:val="center"/>
              <w:textAlignment w:val="bottom"/>
              <w:rPr>
                <w:rFonts w:hint="default" w:ascii="宋体" w:hAnsi="宋体" w:eastAsia="宋体" w:cs="宋体"/>
                <w:b/>
                <w:bCs/>
                <w:color w:val="FF0000"/>
                <w:lang w:val="en-US" w:eastAsia="zh-CN"/>
              </w:rPr>
            </w:pPr>
            <w:r>
              <w:rPr>
                <w:rFonts w:hint="eastAsia" w:ascii="宋体" w:hAnsi="宋体" w:cs="宋体"/>
                <w:b/>
                <w:bCs/>
                <w:color w:val="000000" w:themeColor="text1"/>
                <w:lang w:val="en-US" w:eastAsia="zh-CN"/>
                <w14:textFill>
                  <w14:solidFill>
                    <w14:schemeClr w14:val="tx1"/>
                  </w14:solidFill>
                </w14:textFill>
              </w:rPr>
              <w:t>自</w:t>
            </w:r>
            <w:r>
              <w:rPr>
                <w:rFonts w:hint="eastAsia" w:ascii="宋体" w:hAnsi="宋体" w:cs="宋体"/>
                <w:b/>
                <w:bCs/>
                <w:color w:val="000000"/>
                <w:lang w:val="en-US" w:eastAsia="zh-CN"/>
              </w:rPr>
              <w:t>用有燃气（油）设备的房间</w:t>
            </w:r>
          </w:p>
        </w:tc>
        <w:tc>
          <w:tcPr>
            <w:tcW w:w="1343" w:type="dxa"/>
            <w:tcBorders>
              <w:top w:val="single" w:color="auto" w:sz="6" w:space="0"/>
              <w:left w:val="single" w:color="auto" w:sz="4" w:space="0"/>
              <w:bottom w:val="single" w:color="auto" w:sz="6" w:space="0"/>
              <w:right w:val="single" w:color="auto" w:sz="6" w:space="0"/>
            </w:tcBorders>
            <w:noWrap w:val="0"/>
            <w:vAlign w:val="center"/>
          </w:tcPr>
          <w:p w14:paraId="711B12D8">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规范要求</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4906891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8</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46FBC627">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6</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67299C8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8</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7EB02FE4">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6</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2EBDB669">
            <w:pPr>
              <w:autoSpaceDE w:val="0"/>
              <w:autoSpaceDN w:val="0"/>
              <w:spacing w:line="360" w:lineRule="auto"/>
              <w:jc w:val="center"/>
              <w:textAlignment w:val="bottom"/>
              <w:rPr>
                <w:rFonts w:hint="eastAsia" w:ascii="宋体" w:hAnsi="宋体" w:eastAsia="宋体" w:cs="宋体"/>
                <w:color w:val="000000"/>
                <w:szCs w:val="21"/>
              </w:rPr>
            </w:pPr>
            <w:r>
              <w:rPr>
                <w:rFonts w:hint="eastAsia" w:ascii="宋体" w:hAnsi="宋体" w:eastAsia="宋体" w:cs="宋体"/>
                <w:color w:val="000000"/>
                <w:szCs w:val="21"/>
              </w:rPr>
              <w:t>8（6）</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0F630617">
            <w:pPr>
              <w:autoSpaceDE w:val="0"/>
              <w:autoSpaceDN w:val="0"/>
              <w:spacing w:line="360" w:lineRule="auto"/>
              <w:jc w:val="center"/>
              <w:textAlignment w:val="bottom"/>
              <w:rPr>
                <w:rFonts w:hint="eastAsia" w:ascii="宋体" w:hAnsi="宋体" w:eastAsia="宋体" w:cs="宋体"/>
                <w:color w:val="000000"/>
                <w:szCs w:val="21"/>
                <w:lang w:eastAsia="zh-CN"/>
              </w:rPr>
            </w:pPr>
            <w:r>
              <w:rPr>
                <w:rFonts w:hint="eastAsia" w:ascii="宋体" w:hAnsi="宋体" w:cs="宋体"/>
                <w:color w:val="000000"/>
                <w:szCs w:val="21"/>
                <w:lang w:val="en-US" w:eastAsia="zh-CN"/>
              </w:rPr>
              <w:t>8</w:t>
            </w:r>
          </w:p>
        </w:tc>
      </w:tr>
      <w:tr w14:paraId="4D3AC477">
        <w:tblPrEx>
          <w:tblCellMar>
            <w:top w:w="0" w:type="dxa"/>
            <w:left w:w="28" w:type="dxa"/>
            <w:bottom w:w="0" w:type="dxa"/>
            <w:right w:w="28" w:type="dxa"/>
          </w:tblCellMar>
        </w:tblPrEx>
        <w:trPr>
          <w:cantSplit/>
          <w:trHeight w:val="330" w:hRule="atLeast"/>
          <w:jc w:val="center"/>
        </w:trPr>
        <w:tc>
          <w:tcPr>
            <w:tcW w:w="1361" w:type="dxa"/>
            <w:vMerge w:val="continue"/>
            <w:tcBorders>
              <w:left w:val="single" w:color="auto" w:sz="4" w:space="0"/>
              <w:bottom w:val="single" w:color="auto" w:sz="4" w:space="0"/>
              <w:right w:val="single" w:color="auto" w:sz="4" w:space="0"/>
            </w:tcBorders>
            <w:noWrap w:val="0"/>
            <w:vAlign w:val="center"/>
          </w:tcPr>
          <w:p w14:paraId="786474A0">
            <w:pPr>
              <w:autoSpaceDE w:val="0"/>
              <w:autoSpaceDN w:val="0"/>
              <w:spacing w:line="360" w:lineRule="auto"/>
              <w:jc w:val="center"/>
              <w:textAlignment w:val="bottom"/>
              <w:rPr>
                <w:rFonts w:hint="eastAsia" w:ascii="宋体" w:hAnsi="宋体" w:eastAsia="宋体" w:cs="宋体"/>
                <w:b/>
                <w:bCs/>
                <w:color w:val="000000"/>
              </w:rPr>
            </w:pPr>
          </w:p>
        </w:tc>
        <w:tc>
          <w:tcPr>
            <w:tcW w:w="1343" w:type="dxa"/>
            <w:tcBorders>
              <w:top w:val="single" w:color="auto" w:sz="6" w:space="0"/>
              <w:left w:val="single" w:color="auto" w:sz="4" w:space="0"/>
              <w:bottom w:val="single" w:color="auto" w:sz="6" w:space="0"/>
              <w:right w:val="single" w:color="auto" w:sz="6" w:space="0"/>
            </w:tcBorders>
            <w:noWrap w:val="0"/>
            <w:vAlign w:val="center"/>
          </w:tcPr>
          <w:p w14:paraId="6B225C02">
            <w:pPr>
              <w:adjustRightIn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实测</w:t>
            </w:r>
          </w:p>
        </w:tc>
        <w:tc>
          <w:tcPr>
            <w:tcW w:w="1119" w:type="dxa"/>
            <w:tcBorders>
              <w:top w:val="single" w:color="auto" w:sz="6" w:space="0"/>
              <w:left w:val="single" w:color="auto" w:sz="6" w:space="0"/>
              <w:bottom w:val="single" w:color="auto" w:sz="6" w:space="0"/>
              <w:right w:val="single" w:color="auto" w:sz="6" w:space="0"/>
            </w:tcBorders>
            <w:noWrap w:val="0"/>
            <w:vAlign w:val="center"/>
          </w:tcPr>
          <w:p w14:paraId="154EDFFA">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30.2</w:t>
            </w:r>
          </w:p>
        </w:tc>
        <w:tc>
          <w:tcPr>
            <w:tcW w:w="1111" w:type="dxa"/>
            <w:tcBorders>
              <w:top w:val="single" w:color="auto" w:sz="6" w:space="0"/>
              <w:left w:val="single" w:color="auto" w:sz="6" w:space="0"/>
              <w:bottom w:val="single" w:color="auto" w:sz="6" w:space="0"/>
              <w:right w:val="single" w:color="auto" w:sz="4" w:space="0"/>
            </w:tcBorders>
            <w:noWrap w:val="0"/>
            <w:vAlign w:val="center"/>
          </w:tcPr>
          <w:p w14:paraId="4A42E8BC">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33.5</w:t>
            </w:r>
          </w:p>
        </w:tc>
        <w:tc>
          <w:tcPr>
            <w:tcW w:w="1306" w:type="dxa"/>
            <w:tcBorders>
              <w:top w:val="single" w:color="auto" w:sz="6" w:space="0"/>
              <w:left w:val="single" w:color="auto" w:sz="4" w:space="0"/>
              <w:bottom w:val="single" w:color="auto" w:sz="6" w:space="0"/>
              <w:right w:val="single" w:color="auto" w:sz="4" w:space="0"/>
            </w:tcBorders>
            <w:noWrap w:val="0"/>
            <w:vAlign w:val="center"/>
          </w:tcPr>
          <w:p w14:paraId="577A4C9C">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w:t>
            </w:r>
          </w:p>
        </w:tc>
        <w:tc>
          <w:tcPr>
            <w:tcW w:w="1232" w:type="dxa"/>
            <w:tcBorders>
              <w:top w:val="single" w:color="auto" w:sz="6" w:space="0"/>
              <w:left w:val="single" w:color="auto" w:sz="4" w:space="0"/>
              <w:bottom w:val="single" w:color="auto" w:sz="6" w:space="0"/>
              <w:right w:val="single" w:color="auto" w:sz="6" w:space="0"/>
            </w:tcBorders>
            <w:noWrap w:val="0"/>
            <w:vAlign w:val="center"/>
          </w:tcPr>
          <w:p w14:paraId="7E991829">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24</w:t>
            </w:r>
          </w:p>
        </w:tc>
        <w:tc>
          <w:tcPr>
            <w:tcW w:w="858" w:type="dxa"/>
            <w:tcBorders>
              <w:top w:val="single" w:color="auto" w:sz="6" w:space="0"/>
              <w:left w:val="single" w:color="auto" w:sz="6" w:space="0"/>
              <w:bottom w:val="single" w:color="auto" w:sz="6" w:space="0"/>
              <w:right w:val="single" w:color="auto" w:sz="4" w:space="0"/>
            </w:tcBorders>
            <w:noWrap w:val="0"/>
            <w:vAlign w:val="center"/>
          </w:tcPr>
          <w:p w14:paraId="68B4F83C">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11（23）</w:t>
            </w:r>
          </w:p>
        </w:tc>
        <w:tc>
          <w:tcPr>
            <w:tcW w:w="911" w:type="dxa"/>
            <w:tcBorders>
              <w:top w:val="single" w:color="auto" w:sz="6" w:space="0"/>
              <w:left w:val="single" w:color="auto" w:sz="6" w:space="0"/>
              <w:bottom w:val="single" w:color="auto" w:sz="6" w:space="0"/>
              <w:right w:val="single" w:color="auto" w:sz="4" w:space="0"/>
            </w:tcBorders>
            <w:noWrap w:val="0"/>
            <w:vAlign w:val="center"/>
          </w:tcPr>
          <w:p w14:paraId="003FEC8D">
            <w:pPr>
              <w:autoSpaceDE w:val="0"/>
              <w:autoSpaceDN w:val="0"/>
              <w:spacing w:line="360" w:lineRule="auto"/>
              <w:jc w:val="center"/>
              <w:textAlignment w:val="bottom"/>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32</w:t>
            </w:r>
          </w:p>
        </w:tc>
      </w:tr>
    </w:tbl>
    <w:p w14:paraId="12AFCBF2">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sectPr>
          <w:footerReference r:id="rId9" w:type="default"/>
          <w:pgSz w:w="11906" w:h="16838"/>
          <w:pgMar w:top="1417" w:right="1134" w:bottom="1134" w:left="1587" w:header="737" w:footer="850"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78" w:name="_Toc31852"/>
    </w:p>
    <w:p w14:paraId="729007F9">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left"/>
        <w:textAlignment w:val="auto"/>
        <w:outlineLvl w:val="1"/>
        <w:rPr>
          <w:rFonts w:hint="eastAsia" w:ascii="宋体" w:hAnsi="宋体" w:eastAsia="宋体" w:cs="宋体"/>
          <w:b/>
          <w:smallCaps/>
          <w:color w:val="auto"/>
          <w:kern w:val="0"/>
          <w:sz w:val="32"/>
          <w:szCs w:val="32"/>
          <w:lang w:val="en-US" w:eastAsia="zh-CN"/>
        </w:rPr>
      </w:pPr>
      <w:bookmarkStart w:id="79" w:name="_Toc26101"/>
      <w:bookmarkStart w:id="80" w:name="_Toc19298"/>
      <w:bookmarkStart w:id="81" w:name="_Toc7990"/>
      <w:bookmarkStart w:id="82" w:name="_Toc1477"/>
      <w:r>
        <w:rPr>
          <w:rFonts w:hint="eastAsia" w:ascii="宋体" w:hAnsi="宋体" w:eastAsia="宋体" w:cs="宋体"/>
          <w:b/>
          <w:smallCaps/>
          <w:color w:val="auto"/>
          <w:kern w:val="0"/>
          <w:sz w:val="32"/>
          <w:szCs w:val="32"/>
          <w:lang w:val="en-US" w:eastAsia="zh-CN"/>
        </w:rPr>
        <w:t>2.4工艺流程和主要安全设备设施</w:t>
      </w:r>
      <w:bookmarkEnd w:id="79"/>
      <w:bookmarkEnd w:id="80"/>
      <w:bookmarkEnd w:id="81"/>
      <w:bookmarkEnd w:id="82"/>
    </w:p>
    <w:p w14:paraId="588F7D0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000000"/>
          <w:sz w:val="28"/>
          <w:szCs w:val="28"/>
        </w:rPr>
      </w:pPr>
      <w:r>
        <w:rPr>
          <w:rFonts w:hint="eastAsia" w:ascii="宋体" w:hAnsi="宋体"/>
          <w:color w:val="000000"/>
          <w:sz w:val="28"/>
          <w:szCs w:val="28"/>
        </w:rPr>
        <w:t>该加油站整个工艺系统是国内比较成熟、安全、环保的工艺。具体如下：</w:t>
      </w:r>
    </w:p>
    <w:p w14:paraId="15C9BB90">
      <w:pPr>
        <w:pStyle w:val="3"/>
        <w:keepNext/>
        <w:keepLines/>
        <w:pageBreakBefore w:val="0"/>
        <w:widowControl w:val="0"/>
        <w:kinsoku/>
        <w:wordWrap/>
        <w:overflowPunct/>
        <w:topLinePunct w:val="0"/>
        <w:autoSpaceDE/>
        <w:autoSpaceDN/>
        <w:bidi w:val="0"/>
        <w:adjustRightInd/>
        <w:snapToGrid/>
        <w:spacing w:before="0" w:after="0" w:afterLines="0" w:line="600" w:lineRule="exact"/>
        <w:textAlignment w:val="auto"/>
        <w:outlineLvl w:val="2"/>
        <w:rPr>
          <w:rFonts w:hint="eastAsia" w:ascii="宋体" w:hAnsi="宋体" w:eastAsia="宋体" w:cs="宋体"/>
          <w:color w:val="000000"/>
          <w:kern w:val="3"/>
          <w:sz w:val="30"/>
          <w:szCs w:val="30"/>
        </w:rPr>
      </w:pPr>
      <w:bookmarkStart w:id="83" w:name="_Toc30888"/>
      <w:bookmarkStart w:id="84" w:name="_Toc3026"/>
      <w:bookmarkStart w:id="85" w:name="_Toc22693"/>
      <w:bookmarkStart w:id="86" w:name="_Toc4984"/>
      <w:bookmarkStart w:id="87" w:name="_Toc24410"/>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4</w:t>
      </w:r>
      <w:r>
        <w:rPr>
          <w:rFonts w:hint="eastAsia" w:ascii="宋体" w:hAnsi="宋体" w:eastAsia="宋体" w:cs="宋体"/>
          <w:color w:val="000000"/>
          <w:kern w:val="3"/>
          <w:sz w:val="30"/>
          <w:szCs w:val="30"/>
        </w:rPr>
        <w:t>.1加油和卸油工艺</w:t>
      </w:r>
      <w:bookmarkEnd w:id="83"/>
      <w:bookmarkEnd w:id="84"/>
      <w:bookmarkEnd w:id="85"/>
      <w:bookmarkEnd w:id="86"/>
      <w:bookmarkEnd w:id="87"/>
    </w:p>
    <w:p w14:paraId="7B4340B7">
      <w:pPr>
        <w:keepNext w:val="0"/>
        <w:keepLines w:val="0"/>
        <w:pageBreakBefore w:val="0"/>
        <w:widowControl w:val="0"/>
        <w:kinsoku/>
        <w:wordWrap/>
        <w:overflowPunct/>
        <w:topLinePunct w:val="0"/>
        <w:autoSpaceDE w:val="0"/>
        <w:autoSpaceDN w:val="0"/>
        <w:bidi w:val="0"/>
        <w:adjustRightInd w:val="0"/>
        <w:snapToGrid w:val="0"/>
        <w:spacing w:line="600" w:lineRule="exact"/>
        <w:ind w:firstLine="560" w:firstLineChars="200"/>
        <w:textAlignment w:val="auto"/>
        <w:rPr>
          <w:rFonts w:hint="eastAsia" w:ascii="宋体" w:hAnsi="宋体" w:cs="宋体"/>
          <w:snapToGrid w:val="0"/>
          <w:color w:val="000000"/>
          <w:kern w:val="0"/>
          <w:sz w:val="28"/>
          <w:szCs w:val="28"/>
        </w:rPr>
      </w:pPr>
      <w:r>
        <w:rPr>
          <w:rFonts w:hint="eastAsia" w:ascii="宋体" w:hAnsi="宋体" w:cs="宋体"/>
          <w:snapToGrid w:val="0"/>
          <w:color w:val="000000"/>
          <w:kern w:val="0"/>
          <w:sz w:val="28"/>
          <w:szCs w:val="28"/>
        </w:rPr>
        <w:t>该加油站采用潜油泵加油工艺，为一泵多枪方式供油。汽油已设置加油、卸油油气回收系统。汽油加油机加油软管上设置有安全拉断阀，潜油泵加油机底部供油管道上设置了剪切阀。</w:t>
      </w:r>
    </w:p>
    <w:p w14:paraId="0B51714C">
      <w:pPr>
        <w:keepNext w:val="0"/>
        <w:keepLines w:val="0"/>
        <w:pageBreakBefore w:val="0"/>
        <w:widowControl w:val="0"/>
        <w:kinsoku/>
        <w:wordWrap/>
        <w:overflowPunct/>
        <w:topLinePunct w:val="0"/>
        <w:autoSpaceDE w:val="0"/>
        <w:autoSpaceDN w:val="0"/>
        <w:bidi w:val="0"/>
        <w:adjustRightInd w:val="0"/>
        <w:snapToGrid w:val="0"/>
        <w:spacing w:line="600" w:lineRule="exact"/>
        <w:ind w:firstLine="560" w:firstLineChars="200"/>
        <w:textAlignment w:val="auto"/>
        <w:rPr>
          <w:rFonts w:ascii="宋体" w:hAnsi="宋体" w:cs="宋体"/>
          <w:snapToGrid w:val="0"/>
          <w:kern w:val="0"/>
          <w:sz w:val="28"/>
          <w:szCs w:val="28"/>
        </w:rPr>
      </w:pPr>
      <w:r>
        <w:rPr>
          <w:rFonts w:hint="eastAsia" w:ascii="宋体" w:hAnsi="宋体" w:cs="宋体"/>
          <w:snapToGrid w:val="0"/>
          <w:kern w:val="0"/>
          <w:sz w:val="28"/>
          <w:szCs w:val="28"/>
        </w:rPr>
        <w:t>加油操作流程：引导车辆到所需的加油位停泊，提醒司机熄灭发动机和请勿吸烟以及使用手机，核对油品类型和数量，将加油机数码回零。确认油品无误后，提起加油枪，将加油枪插入车辆箱口，打开加油枪加油。拉动加油枪时，应注意松开盘管，以免扭伤软管或过度拉伸。加油过程中应密切注意油箱口，以防止油品溢出。加完油后，收枪复位。收枪时应注意滴净加油枪余油，枪口向上，轻轻放回原处，盘好加油枪胶管，清理场地。收枪后应拧紧车辆油箱盖，上锁关好外盖。</w:t>
      </w:r>
    </w:p>
    <w:p w14:paraId="5251058B">
      <w:pPr>
        <w:keepNext w:val="0"/>
        <w:keepLines w:val="0"/>
        <w:pageBreakBefore w:val="0"/>
        <w:widowControl w:val="0"/>
        <w:kinsoku/>
        <w:wordWrap/>
        <w:overflowPunct/>
        <w:topLinePunct w:val="0"/>
        <w:bidi w:val="0"/>
        <w:adjustRightInd w:val="0"/>
        <w:snapToGrid w:val="0"/>
        <w:spacing w:line="600" w:lineRule="exact"/>
        <w:ind w:firstLine="560" w:firstLineChars="200"/>
        <w:jc w:val="left"/>
        <w:textAlignment w:val="auto"/>
        <w:rPr>
          <w:rFonts w:ascii="宋体" w:hAnsi="宋体" w:cs="宋体"/>
          <w:kern w:val="0"/>
          <w:sz w:val="28"/>
          <w:szCs w:val="28"/>
        </w:rPr>
      </w:pPr>
      <w:r>
        <w:rPr>
          <w:rFonts w:hint="eastAsia" w:ascii="宋体" w:hAnsi="宋体" w:cs="宋体"/>
          <w:kern w:val="0"/>
          <w:sz w:val="28"/>
          <w:szCs w:val="28"/>
        </w:rPr>
        <w:t>该加油站采用密闭卸油方式，卸油口集中设置在卸油箱内，在卸油管口上安装阀门和快速接头。汽油卸油已设置油气回收系统，采用平衡式油气回收方式。油罐安装有液位仪和泄漏检测报警系统，液位和泄漏检测报警仪安装在站房内。</w:t>
      </w:r>
    </w:p>
    <w:p w14:paraId="5300417D">
      <w:pPr>
        <w:keepNext w:val="0"/>
        <w:keepLines w:val="0"/>
        <w:pageBreakBefore w:val="0"/>
        <w:widowControl w:val="0"/>
        <w:kinsoku/>
        <w:wordWrap/>
        <w:overflowPunct/>
        <w:topLinePunct w:val="0"/>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卸油操作流程：装有汽油（或柴油）的油罐车到达加油站卸油点后，在卸油点停稳熄火，接好静电接地装置后静止15min。人工校验油品，对油罐车和油罐实施计量，在用防静电软管将油罐车与油罐的密闭卸油口快速接头接好开始卸油，卸油完毕后静置5min拆除连通软管，关闭卸油管阀门和油罐车阀门，用铝桶回收卸油软管内残油，拆除静电接地装置，发动油品罐车缓慢离开卸油区。</w:t>
      </w:r>
    </w:p>
    <w:p w14:paraId="3DC707D9">
      <w:pPr>
        <w:keepNext w:val="0"/>
        <w:keepLines w:val="0"/>
        <w:pageBreakBefore w:val="0"/>
        <w:widowControl w:val="0"/>
        <w:kinsoku/>
        <w:wordWrap/>
        <w:overflowPunct/>
        <w:topLinePunct w:val="0"/>
        <w:bidi w:val="0"/>
        <w:adjustRightInd w:val="0"/>
        <w:snapToGrid w:val="0"/>
        <w:spacing w:line="600" w:lineRule="exact"/>
        <w:ind w:firstLine="560" w:firstLineChars="200"/>
        <w:jc w:val="left"/>
        <w:textAlignment w:val="auto"/>
        <w:rPr>
          <w:rFonts w:ascii="宋体" w:hAnsi="宋体" w:cs="宋体"/>
          <w:kern w:val="0"/>
          <w:sz w:val="28"/>
          <w:szCs w:val="28"/>
        </w:rPr>
      </w:pPr>
      <w:r>
        <w:rPr>
          <w:rFonts w:hint="eastAsia" w:ascii="宋体" w:hAnsi="宋体" w:cs="宋体"/>
          <w:kern w:val="0"/>
          <w:sz w:val="28"/>
          <w:szCs w:val="28"/>
        </w:rPr>
        <w:t>该加油站在卸油时配备了流量计，用以油品计量，流量计配备有表盘和机械式指针表头，表盘指示部功能有总累积流量、单次累积流量、瞬时流量、单次流量回零。</w:t>
      </w:r>
    </w:p>
    <w:p w14:paraId="50079EC2">
      <w:pPr>
        <w:keepNext w:val="0"/>
        <w:keepLines w:val="0"/>
        <w:pageBreakBefore w:val="0"/>
        <w:widowControl w:val="0"/>
        <w:kinsoku/>
        <w:wordWrap/>
        <w:overflowPunct/>
        <w:topLinePunct w:val="0"/>
        <w:bidi w:val="0"/>
        <w:snapToGrid w:val="0"/>
        <w:spacing w:line="600" w:lineRule="exact"/>
        <w:ind w:firstLine="560" w:firstLineChars="200"/>
        <w:jc w:val="left"/>
        <w:textAlignment w:val="auto"/>
        <w:rPr>
          <w:rFonts w:hint="eastAsia"/>
          <w:kern w:val="3"/>
          <w:sz w:val="28"/>
          <w:szCs w:val="28"/>
        </w:rPr>
      </w:pPr>
      <w:r>
        <w:rPr>
          <w:rFonts w:hint="eastAsia" w:ascii="宋体" w:hAnsi="宋体" w:cs="宋体"/>
          <w:kern w:val="0"/>
          <w:sz w:val="28"/>
          <w:szCs w:val="28"/>
        </w:rPr>
        <w:t>加油和卸油工艺流程如图2-3所示。</w:t>
      </w:r>
    </w:p>
    <w:p w14:paraId="63B7FBB7">
      <w:pPr>
        <w:autoSpaceDE w:val="0"/>
        <w:autoSpaceDN w:val="0"/>
        <w:adjustRightInd w:val="0"/>
        <w:spacing w:line="360" w:lineRule="auto"/>
        <w:jc w:val="center"/>
        <w:rPr>
          <w:rFonts w:hint="eastAsia"/>
          <w:kern w:val="3"/>
          <w:sz w:val="28"/>
          <w:szCs w:val="28"/>
        </w:rPr>
      </w:pPr>
      <w:r>
        <w:rPr>
          <w:sz w:val="28"/>
        </w:rPr>
        <mc:AlternateContent>
          <mc:Choice Requires="wpg">
            <w:drawing>
              <wp:inline distT="0" distB="0" distL="114300" distR="114300">
                <wp:extent cx="5486400" cy="3009900"/>
                <wp:effectExtent l="6350" t="0" r="8890" b="7620"/>
                <wp:docPr id="37" name="组合 37"/>
                <wp:cNvGraphicFramePr/>
                <a:graphic xmlns:a="http://schemas.openxmlformats.org/drawingml/2006/main">
                  <a:graphicData uri="http://schemas.microsoft.com/office/word/2010/wordprocessingGroup">
                    <wpg:wgp>
                      <wpg:cNvGrpSpPr>
                        <a:grpSpLocks noRot="1"/>
                      </wpg:cNvGrpSpPr>
                      <wpg:grpSpPr>
                        <a:xfrm>
                          <a:off x="0" y="0"/>
                          <a:ext cx="5486400" cy="3009900"/>
                          <a:chOff x="4704" y="497595"/>
                          <a:chExt cx="8640" cy="4740"/>
                        </a:xfrm>
                      </wpg:grpSpPr>
                      <wps:wsp>
                        <wps:cNvPr id="5" name="直接连接符 4"/>
                        <wps:cNvCnPr/>
                        <wps:spPr>
                          <a:xfrm>
                            <a:off x="11448" y="500795"/>
                            <a:ext cx="792" cy="1"/>
                          </a:xfrm>
                          <a:prstGeom prst="line">
                            <a:avLst/>
                          </a:prstGeom>
                          <a:ln w="12700" cap="flat" cmpd="sng">
                            <a:solidFill>
                              <a:srgbClr val="000000"/>
                            </a:solidFill>
                            <a:prstDash val="solid"/>
                            <a:headEnd type="none" w="med" len="med"/>
                            <a:tailEnd type="triangle" w="med" len="med"/>
                          </a:ln>
                        </wps:spPr>
                        <wps:bodyPr upright="1"/>
                      </wps:wsp>
                      <wps:wsp>
                        <wps:cNvPr id="7" name="肘形连接符 5"/>
                        <wps:cNvCnPr>
                          <a:stCxn id="32" idx="0"/>
                          <a:endCxn id="25" idx="2"/>
                        </wps:cNvCnPr>
                        <wps:spPr>
                          <a:xfrm rot="-5400000">
                            <a:off x="9524" y="500432"/>
                            <a:ext cx="735" cy="1793"/>
                          </a:xfrm>
                          <a:prstGeom prst="bentConnector3">
                            <a:avLst>
                              <a:gd name="adj1" fmla="val 49931"/>
                            </a:avLst>
                          </a:prstGeom>
                          <a:ln w="12700" cap="flat" cmpd="sng">
                            <a:solidFill>
                              <a:srgbClr val="000000"/>
                            </a:solidFill>
                            <a:prstDash val="dash"/>
                            <a:miter/>
                            <a:headEnd type="none" w="med" len="med"/>
                            <a:tailEnd type="triangle" w="med" len="med"/>
                          </a:ln>
                        </wps:spPr>
                        <wps:bodyPr/>
                      </wps:wsp>
                      <wpg:grpSp>
                        <wpg:cNvPr id="36" name="组合 36"/>
                        <wpg:cNvGrpSpPr/>
                        <wpg:grpSpPr>
                          <a:xfrm>
                            <a:off x="4704" y="497595"/>
                            <a:ext cx="8640" cy="4741"/>
                            <a:chOff x="4704" y="497595"/>
                            <a:chExt cx="8640" cy="4741"/>
                          </a:xfrm>
                        </wpg:grpSpPr>
                        <wps:wsp>
                          <wps:cNvPr id="9" name="矩形 6"/>
                          <wps:cNvSpPr/>
                          <wps:spPr>
                            <a:xfrm>
                              <a:off x="4704" y="497859"/>
                              <a:ext cx="1236" cy="504"/>
                            </a:xfrm>
                            <a:prstGeom prst="rect">
                              <a:avLst/>
                            </a:prstGeom>
                            <a:noFill/>
                            <a:ln w="12700" cap="flat" cmpd="sng">
                              <a:solidFill>
                                <a:srgbClr val="000000"/>
                              </a:solidFill>
                              <a:prstDash val="solid"/>
                              <a:miter/>
                              <a:headEnd type="none" w="med" len="med"/>
                              <a:tailEnd type="none" w="med" len="med"/>
                            </a:ln>
                          </wps:spPr>
                          <wps:txbx>
                            <w:txbxContent>
                              <w:p w14:paraId="124B9F91">
                                <w:r>
                                  <w:rPr>
                                    <w:rFonts w:hint="eastAsia"/>
                                  </w:rPr>
                                  <w:t>柴油罐车</w:t>
                                </w:r>
                              </w:p>
                            </w:txbxContent>
                          </wps:txbx>
                          <wps:bodyPr upright="1"/>
                        </wps:wsp>
                        <wps:wsp>
                          <wps:cNvPr id="10" name="直接连接符 7"/>
                          <wps:cNvCnPr/>
                          <wps:spPr>
                            <a:xfrm>
                              <a:off x="5928" y="498096"/>
                              <a:ext cx="2099" cy="1"/>
                            </a:xfrm>
                            <a:prstGeom prst="line">
                              <a:avLst/>
                            </a:prstGeom>
                            <a:ln w="12700" cap="flat" cmpd="sng">
                              <a:solidFill>
                                <a:srgbClr val="000000"/>
                              </a:solidFill>
                              <a:prstDash val="solid"/>
                              <a:headEnd type="none" w="med" len="med"/>
                              <a:tailEnd type="triangle" w="med" len="med"/>
                            </a:ln>
                          </wps:spPr>
                          <wps:bodyPr upright="1"/>
                        </wps:wsp>
                        <wps:wsp>
                          <wps:cNvPr id="14" name="矩形 8"/>
                          <wps:cNvSpPr/>
                          <wps:spPr>
                            <a:xfrm>
                              <a:off x="8028" y="497859"/>
                              <a:ext cx="1572" cy="504"/>
                            </a:xfrm>
                            <a:prstGeom prst="rect">
                              <a:avLst/>
                            </a:prstGeom>
                            <a:noFill/>
                            <a:ln w="12700" cap="flat" cmpd="sng">
                              <a:solidFill>
                                <a:srgbClr val="000000"/>
                              </a:solidFill>
                              <a:prstDash val="solid"/>
                              <a:miter/>
                              <a:headEnd type="none" w="med" len="med"/>
                              <a:tailEnd type="none" w="med" len="med"/>
                            </a:ln>
                          </wps:spPr>
                          <wps:txbx>
                            <w:txbxContent>
                              <w:p w14:paraId="02D907AB">
                                <w:r>
                                  <w:rPr>
                                    <w:rFonts w:hint="eastAsia"/>
                                  </w:rPr>
                                  <w:t>柴油罐卸油口</w:t>
                                </w:r>
                              </w:p>
                            </w:txbxContent>
                          </wps:txbx>
                          <wps:bodyPr upright="1"/>
                        </wps:wsp>
                        <wps:wsp>
                          <wps:cNvPr id="15" name="直接连接符 9"/>
                          <wps:cNvCnPr/>
                          <wps:spPr>
                            <a:xfrm>
                              <a:off x="9588" y="498072"/>
                              <a:ext cx="792" cy="1"/>
                            </a:xfrm>
                            <a:prstGeom prst="line">
                              <a:avLst/>
                            </a:prstGeom>
                            <a:ln w="12700" cap="flat" cmpd="sng">
                              <a:solidFill>
                                <a:srgbClr val="000000"/>
                              </a:solidFill>
                              <a:prstDash val="solid"/>
                              <a:headEnd type="none" w="med" len="med"/>
                              <a:tailEnd type="triangle" w="med" len="med"/>
                            </a:ln>
                          </wps:spPr>
                          <wps:bodyPr upright="1"/>
                        </wps:wsp>
                        <wps:wsp>
                          <wps:cNvPr id="16" name="矩形 10"/>
                          <wps:cNvSpPr/>
                          <wps:spPr>
                            <a:xfrm>
                              <a:off x="6060" y="497595"/>
                              <a:ext cx="1894" cy="456"/>
                            </a:xfrm>
                            <a:prstGeom prst="rect">
                              <a:avLst/>
                            </a:prstGeom>
                            <a:noFill/>
                            <a:ln w="12700">
                              <a:noFill/>
                            </a:ln>
                          </wps:spPr>
                          <wps:txbx>
                            <w:txbxContent>
                              <w:p w14:paraId="7D3E911C">
                                <w:r>
                                  <w:rPr>
                                    <w:rFonts w:hint="eastAsia"/>
                                  </w:rPr>
                                  <w:t>卸油导静电胶管</w:t>
                                </w:r>
                              </w:p>
                            </w:txbxContent>
                          </wps:txbx>
                          <wps:bodyPr upright="1"/>
                        </wps:wsp>
                        <wps:wsp>
                          <wps:cNvPr id="22" name="矩形 11"/>
                          <wps:cNvSpPr/>
                          <wps:spPr>
                            <a:xfrm>
                              <a:off x="10380" y="497859"/>
                              <a:ext cx="1068" cy="504"/>
                            </a:xfrm>
                            <a:prstGeom prst="rect">
                              <a:avLst/>
                            </a:prstGeom>
                            <a:noFill/>
                            <a:ln w="12700" cap="flat" cmpd="sng">
                              <a:solidFill>
                                <a:srgbClr val="000000"/>
                              </a:solidFill>
                              <a:prstDash val="solid"/>
                              <a:miter/>
                              <a:headEnd type="none" w="med" len="med"/>
                              <a:tailEnd type="none" w="med" len="med"/>
                            </a:ln>
                          </wps:spPr>
                          <wps:txbx>
                            <w:txbxContent>
                              <w:p w14:paraId="1371950E">
                                <w:pPr>
                                  <w:jc w:val="center"/>
                                </w:pPr>
                                <w:r>
                                  <w:rPr>
                                    <w:rFonts w:hint="eastAsia"/>
                                  </w:rPr>
                                  <w:t>柴油罐</w:t>
                                </w:r>
                              </w:p>
                            </w:txbxContent>
                          </wps:txbx>
                          <wps:bodyPr upright="1"/>
                        </wps:wsp>
                        <wps:wsp>
                          <wps:cNvPr id="25" name="直接连接符 12"/>
                          <wps:cNvCnPr/>
                          <wps:spPr>
                            <a:xfrm>
                              <a:off x="11448" y="498072"/>
                              <a:ext cx="792" cy="1"/>
                            </a:xfrm>
                            <a:prstGeom prst="line">
                              <a:avLst/>
                            </a:prstGeom>
                            <a:ln w="12700" cap="flat" cmpd="sng">
                              <a:solidFill>
                                <a:srgbClr val="000000"/>
                              </a:solidFill>
                              <a:prstDash val="solid"/>
                              <a:headEnd type="none" w="med" len="med"/>
                              <a:tailEnd type="triangle" w="med" len="med"/>
                            </a:ln>
                          </wps:spPr>
                          <wps:bodyPr upright="1"/>
                        </wps:wsp>
                        <wps:wsp>
                          <wps:cNvPr id="26" name="矩形 13"/>
                          <wps:cNvSpPr/>
                          <wps:spPr>
                            <a:xfrm>
                              <a:off x="12264" y="497859"/>
                              <a:ext cx="1068" cy="504"/>
                            </a:xfrm>
                            <a:prstGeom prst="rect">
                              <a:avLst/>
                            </a:prstGeom>
                            <a:noFill/>
                            <a:ln w="12700" cap="flat" cmpd="sng">
                              <a:solidFill>
                                <a:srgbClr val="000000"/>
                              </a:solidFill>
                              <a:prstDash val="solid"/>
                              <a:miter/>
                              <a:headEnd type="none" w="med" len="med"/>
                              <a:tailEnd type="none" w="med" len="med"/>
                            </a:ln>
                          </wps:spPr>
                          <wps:txbx>
                            <w:txbxContent>
                              <w:p w14:paraId="57180504">
                                <w:pPr>
                                  <w:jc w:val="center"/>
                                </w:pPr>
                                <w:r>
                                  <w:rPr>
                                    <w:rFonts w:hint="eastAsia"/>
                                  </w:rPr>
                                  <w:t>潜油泵</w:t>
                                </w:r>
                              </w:p>
                            </w:txbxContent>
                          </wps:txbx>
                          <wps:bodyPr upright="1"/>
                        </wps:wsp>
                        <wps:wsp>
                          <wps:cNvPr id="27" name="直接连接符 14"/>
                          <wps:cNvCnPr/>
                          <wps:spPr>
                            <a:xfrm>
                              <a:off x="12840" y="498380"/>
                              <a:ext cx="1" cy="708"/>
                            </a:xfrm>
                            <a:prstGeom prst="line">
                              <a:avLst/>
                            </a:prstGeom>
                            <a:ln w="12700" cap="flat" cmpd="sng">
                              <a:solidFill>
                                <a:srgbClr val="000000"/>
                              </a:solidFill>
                              <a:prstDash val="solid"/>
                              <a:headEnd type="none" w="med" len="med"/>
                              <a:tailEnd type="triangle" w="med" len="med"/>
                            </a:ln>
                          </wps:spPr>
                          <wps:bodyPr upright="1"/>
                        </wps:wsp>
                        <wps:wsp>
                          <wps:cNvPr id="28" name="矩形 15"/>
                          <wps:cNvSpPr/>
                          <wps:spPr>
                            <a:xfrm>
                              <a:off x="12264" y="499085"/>
                              <a:ext cx="1068" cy="504"/>
                            </a:xfrm>
                            <a:prstGeom prst="rect">
                              <a:avLst/>
                            </a:prstGeom>
                            <a:noFill/>
                            <a:ln w="12700" cap="flat" cmpd="sng">
                              <a:solidFill>
                                <a:srgbClr val="000000"/>
                              </a:solidFill>
                              <a:prstDash val="solid"/>
                              <a:miter/>
                              <a:headEnd type="none" w="med" len="med"/>
                              <a:tailEnd type="none" w="med" len="med"/>
                            </a:ln>
                          </wps:spPr>
                          <wps:txbx>
                            <w:txbxContent>
                              <w:p w14:paraId="45813287">
                                <w:pPr>
                                  <w:jc w:val="center"/>
                                </w:pPr>
                                <w:r>
                                  <w:rPr>
                                    <w:rFonts w:hint="eastAsia"/>
                                  </w:rPr>
                                  <w:t>加油机</w:t>
                                </w:r>
                              </w:p>
                            </w:txbxContent>
                          </wps:txbx>
                          <wps:bodyPr upright="1"/>
                        </wps:wsp>
                        <wps:wsp>
                          <wps:cNvPr id="29" name="直接连接符 16"/>
                          <wps:cNvCnPr/>
                          <wps:spPr>
                            <a:xfrm flipH="1">
                              <a:off x="11628" y="499362"/>
                              <a:ext cx="660" cy="1"/>
                            </a:xfrm>
                            <a:prstGeom prst="line">
                              <a:avLst/>
                            </a:prstGeom>
                            <a:ln w="12700" cap="flat" cmpd="sng">
                              <a:solidFill>
                                <a:srgbClr val="000000"/>
                              </a:solidFill>
                              <a:prstDash val="solid"/>
                              <a:headEnd type="none" w="med" len="med"/>
                              <a:tailEnd type="triangle" w="med" len="med"/>
                            </a:ln>
                          </wps:spPr>
                          <wps:bodyPr upright="1"/>
                        </wps:wsp>
                        <wps:wsp>
                          <wps:cNvPr id="30" name="矩形 17"/>
                          <wps:cNvSpPr/>
                          <wps:spPr>
                            <a:xfrm>
                              <a:off x="10560" y="499109"/>
                              <a:ext cx="1068" cy="504"/>
                            </a:xfrm>
                            <a:prstGeom prst="rect">
                              <a:avLst/>
                            </a:prstGeom>
                            <a:noFill/>
                            <a:ln w="12700" cap="flat" cmpd="sng">
                              <a:solidFill>
                                <a:srgbClr val="000000"/>
                              </a:solidFill>
                              <a:prstDash val="solid"/>
                              <a:miter/>
                              <a:headEnd type="none" w="med" len="med"/>
                              <a:tailEnd type="none" w="med" len="med"/>
                            </a:ln>
                          </wps:spPr>
                          <wps:txbx>
                            <w:txbxContent>
                              <w:p w14:paraId="3494B439">
                                <w:pPr>
                                  <w:jc w:val="center"/>
                                </w:pPr>
                                <w:r>
                                  <w:rPr>
                                    <w:rFonts w:hint="eastAsia"/>
                                  </w:rPr>
                                  <w:t>加油枪</w:t>
                                </w:r>
                              </w:p>
                            </w:txbxContent>
                          </wps:txbx>
                          <wps:bodyPr upright="1"/>
                        </wps:wsp>
                        <wps:wsp>
                          <wps:cNvPr id="31" name="直接连接符 18"/>
                          <wps:cNvCnPr/>
                          <wps:spPr>
                            <a:xfrm flipH="1">
                              <a:off x="9840" y="499374"/>
                              <a:ext cx="660" cy="1"/>
                            </a:xfrm>
                            <a:prstGeom prst="line">
                              <a:avLst/>
                            </a:prstGeom>
                            <a:ln w="12700" cap="flat" cmpd="sng">
                              <a:solidFill>
                                <a:srgbClr val="000000"/>
                              </a:solidFill>
                              <a:prstDash val="solid"/>
                              <a:headEnd type="none" w="med" len="med"/>
                              <a:tailEnd type="triangle" w="med" len="med"/>
                            </a:ln>
                          </wps:spPr>
                          <wps:bodyPr upright="1"/>
                        </wps:wsp>
                        <wps:wsp>
                          <wps:cNvPr id="32" name="矩形 19"/>
                          <wps:cNvSpPr/>
                          <wps:spPr>
                            <a:xfrm>
                              <a:off x="8473" y="499097"/>
                              <a:ext cx="1367" cy="504"/>
                            </a:xfrm>
                            <a:prstGeom prst="rect">
                              <a:avLst/>
                            </a:prstGeom>
                            <a:noFill/>
                            <a:ln w="12700" cap="flat" cmpd="sng">
                              <a:solidFill>
                                <a:srgbClr val="000000"/>
                              </a:solidFill>
                              <a:prstDash val="solid"/>
                              <a:miter/>
                              <a:headEnd type="none" w="med" len="med"/>
                              <a:tailEnd type="none" w="med" len="med"/>
                            </a:ln>
                          </wps:spPr>
                          <wps:txbx>
                            <w:txbxContent>
                              <w:p w14:paraId="18CD4A7A">
                                <w:pPr>
                                  <w:jc w:val="center"/>
                                </w:pPr>
                                <w:r>
                                  <w:rPr>
                                    <w:rFonts w:hint="eastAsia"/>
                                  </w:rPr>
                                  <w:t>加油车辆</w:t>
                                </w:r>
                              </w:p>
                            </w:txbxContent>
                          </wps:txbx>
                          <wps:bodyPr upright="1"/>
                        </wps:wsp>
                        <wps:wsp>
                          <wps:cNvPr id="33" name="矩形 20"/>
                          <wps:cNvSpPr/>
                          <wps:spPr>
                            <a:xfrm>
                              <a:off x="4704" y="500582"/>
                              <a:ext cx="1236" cy="504"/>
                            </a:xfrm>
                            <a:prstGeom prst="rect">
                              <a:avLst/>
                            </a:prstGeom>
                            <a:noFill/>
                            <a:ln w="12700" cap="flat" cmpd="sng">
                              <a:solidFill>
                                <a:srgbClr val="000000"/>
                              </a:solidFill>
                              <a:prstDash val="solid"/>
                              <a:miter/>
                              <a:headEnd type="none" w="med" len="med"/>
                              <a:tailEnd type="none" w="med" len="med"/>
                            </a:ln>
                          </wps:spPr>
                          <wps:txbx>
                            <w:txbxContent>
                              <w:p w14:paraId="52A728FE">
                                <w:r>
                                  <w:rPr>
                                    <w:rFonts w:hint="eastAsia"/>
                                  </w:rPr>
                                  <w:t>汽油罐车</w:t>
                                </w:r>
                              </w:p>
                            </w:txbxContent>
                          </wps:txbx>
                          <wps:bodyPr upright="1"/>
                        </wps:wsp>
                        <wps:wsp>
                          <wps:cNvPr id="34" name="直接连接符 21"/>
                          <wps:cNvCnPr/>
                          <wps:spPr>
                            <a:xfrm>
                              <a:off x="5928" y="500819"/>
                              <a:ext cx="2099" cy="1"/>
                            </a:xfrm>
                            <a:prstGeom prst="line">
                              <a:avLst/>
                            </a:prstGeom>
                            <a:ln w="12700" cap="flat" cmpd="sng">
                              <a:solidFill>
                                <a:srgbClr val="000000"/>
                              </a:solidFill>
                              <a:prstDash val="solid"/>
                              <a:headEnd type="none" w="med" len="med"/>
                              <a:tailEnd type="triangle" w="med" len="med"/>
                            </a:ln>
                          </wps:spPr>
                          <wps:bodyPr upright="1"/>
                        </wps:wsp>
                        <wps:wsp>
                          <wps:cNvPr id="35" name="矩形 22"/>
                          <wps:cNvSpPr/>
                          <wps:spPr>
                            <a:xfrm>
                              <a:off x="8028" y="500582"/>
                              <a:ext cx="1572" cy="504"/>
                            </a:xfrm>
                            <a:prstGeom prst="rect">
                              <a:avLst/>
                            </a:prstGeom>
                            <a:noFill/>
                            <a:ln w="12700" cap="flat" cmpd="sng">
                              <a:solidFill>
                                <a:srgbClr val="000000"/>
                              </a:solidFill>
                              <a:prstDash val="solid"/>
                              <a:miter/>
                              <a:headEnd type="none" w="med" len="med"/>
                              <a:tailEnd type="none" w="med" len="med"/>
                            </a:ln>
                          </wps:spPr>
                          <wps:txbx>
                            <w:txbxContent>
                              <w:p w14:paraId="3A23FDBA">
                                <w:r>
                                  <w:rPr>
                                    <w:rFonts w:hint="eastAsia"/>
                                  </w:rPr>
                                  <w:t>汽油罐卸油口</w:t>
                                </w:r>
                              </w:p>
                            </w:txbxContent>
                          </wps:txbx>
                          <wps:bodyPr upright="1"/>
                        </wps:wsp>
                        <wps:wsp>
                          <wps:cNvPr id="40" name="直接连接符 23"/>
                          <wps:cNvCnPr/>
                          <wps:spPr>
                            <a:xfrm>
                              <a:off x="9588" y="500795"/>
                              <a:ext cx="792" cy="1"/>
                            </a:xfrm>
                            <a:prstGeom prst="line">
                              <a:avLst/>
                            </a:prstGeom>
                            <a:ln w="12700" cap="flat" cmpd="sng">
                              <a:solidFill>
                                <a:srgbClr val="000000"/>
                              </a:solidFill>
                              <a:prstDash val="solid"/>
                              <a:headEnd type="none" w="med" len="med"/>
                              <a:tailEnd type="triangle" w="med" len="med"/>
                            </a:ln>
                          </wps:spPr>
                          <wps:bodyPr upright="1"/>
                        </wps:wsp>
                        <wps:wsp>
                          <wps:cNvPr id="41" name="矩形 24"/>
                          <wps:cNvSpPr/>
                          <wps:spPr>
                            <a:xfrm>
                              <a:off x="6060" y="500318"/>
                              <a:ext cx="1894" cy="456"/>
                            </a:xfrm>
                            <a:prstGeom prst="rect">
                              <a:avLst/>
                            </a:prstGeom>
                            <a:noFill/>
                            <a:ln w="12700">
                              <a:noFill/>
                            </a:ln>
                          </wps:spPr>
                          <wps:txbx>
                            <w:txbxContent>
                              <w:p w14:paraId="4DC696CF">
                                <w:r>
                                  <w:rPr>
                                    <w:rFonts w:hint="eastAsia"/>
                                  </w:rPr>
                                  <w:t>卸油导静电胶管</w:t>
                                </w:r>
                              </w:p>
                            </w:txbxContent>
                          </wps:txbx>
                          <wps:bodyPr upright="1"/>
                        </wps:wsp>
                        <wps:wsp>
                          <wps:cNvPr id="42" name="矩形 25"/>
                          <wps:cNvSpPr/>
                          <wps:spPr>
                            <a:xfrm>
                              <a:off x="10380" y="500582"/>
                              <a:ext cx="1068" cy="504"/>
                            </a:xfrm>
                            <a:prstGeom prst="rect">
                              <a:avLst/>
                            </a:prstGeom>
                            <a:noFill/>
                            <a:ln w="12700" cap="flat" cmpd="sng">
                              <a:solidFill>
                                <a:srgbClr val="000000"/>
                              </a:solidFill>
                              <a:prstDash val="solid"/>
                              <a:miter/>
                              <a:headEnd type="none" w="med" len="med"/>
                              <a:tailEnd type="none" w="med" len="med"/>
                            </a:ln>
                          </wps:spPr>
                          <wps:txbx>
                            <w:txbxContent>
                              <w:p w14:paraId="7F96E162">
                                <w:pPr>
                                  <w:jc w:val="center"/>
                                </w:pPr>
                                <w:r>
                                  <w:rPr>
                                    <w:rFonts w:hint="eastAsia"/>
                                  </w:rPr>
                                  <w:t>汽油罐</w:t>
                                </w:r>
                              </w:p>
                            </w:txbxContent>
                          </wps:txbx>
                          <wps:bodyPr upright="1"/>
                        </wps:wsp>
                        <wps:wsp>
                          <wps:cNvPr id="43" name="矩形 26"/>
                          <wps:cNvSpPr/>
                          <wps:spPr>
                            <a:xfrm>
                              <a:off x="12264" y="500582"/>
                              <a:ext cx="1068" cy="504"/>
                            </a:xfrm>
                            <a:prstGeom prst="rect">
                              <a:avLst/>
                            </a:prstGeom>
                            <a:noFill/>
                            <a:ln w="12700" cap="flat" cmpd="sng">
                              <a:solidFill>
                                <a:srgbClr val="000000"/>
                              </a:solidFill>
                              <a:prstDash val="solid"/>
                              <a:miter/>
                              <a:headEnd type="none" w="med" len="med"/>
                              <a:tailEnd type="none" w="med" len="med"/>
                            </a:ln>
                          </wps:spPr>
                          <wps:txbx>
                            <w:txbxContent>
                              <w:p w14:paraId="4EBE85FE">
                                <w:pPr>
                                  <w:jc w:val="center"/>
                                </w:pPr>
                                <w:r>
                                  <w:rPr>
                                    <w:rFonts w:hint="eastAsia"/>
                                  </w:rPr>
                                  <w:t>潜油泵</w:t>
                                </w:r>
                              </w:p>
                            </w:txbxContent>
                          </wps:txbx>
                          <wps:bodyPr upright="1"/>
                        </wps:wsp>
                        <wps:wsp>
                          <wps:cNvPr id="44" name="直接连接符 27"/>
                          <wps:cNvCnPr/>
                          <wps:spPr>
                            <a:xfrm>
                              <a:off x="12840" y="501104"/>
                              <a:ext cx="1" cy="708"/>
                            </a:xfrm>
                            <a:prstGeom prst="line">
                              <a:avLst/>
                            </a:prstGeom>
                            <a:ln w="12700" cap="flat" cmpd="sng">
                              <a:solidFill>
                                <a:srgbClr val="000000"/>
                              </a:solidFill>
                              <a:prstDash val="solid"/>
                              <a:headEnd type="none" w="med" len="med"/>
                              <a:tailEnd type="triangle" w="med" len="med"/>
                            </a:ln>
                          </wps:spPr>
                          <wps:bodyPr upright="1"/>
                        </wps:wsp>
                        <wps:wsp>
                          <wps:cNvPr id="45" name="矩形 28"/>
                          <wps:cNvSpPr/>
                          <wps:spPr>
                            <a:xfrm>
                              <a:off x="12276" y="501808"/>
                              <a:ext cx="1068" cy="504"/>
                            </a:xfrm>
                            <a:prstGeom prst="rect">
                              <a:avLst/>
                            </a:prstGeom>
                            <a:noFill/>
                            <a:ln w="12700" cap="flat" cmpd="sng">
                              <a:solidFill>
                                <a:srgbClr val="000000"/>
                              </a:solidFill>
                              <a:prstDash val="solid"/>
                              <a:miter/>
                              <a:headEnd type="none" w="med" len="med"/>
                              <a:tailEnd type="none" w="med" len="med"/>
                            </a:ln>
                          </wps:spPr>
                          <wps:txbx>
                            <w:txbxContent>
                              <w:p w14:paraId="6374A23B">
                                <w:pPr>
                                  <w:jc w:val="center"/>
                                </w:pPr>
                                <w:r>
                                  <w:rPr>
                                    <w:rFonts w:hint="eastAsia"/>
                                  </w:rPr>
                                  <w:t>加油机</w:t>
                                </w:r>
                              </w:p>
                            </w:txbxContent>
                          </wps:txbx>
                          <wps:bodyPr upright="1"/>
                        </wps:wsp>
                        <wps:wsp>
                          <wps:cNvPr id="46" name="直接连接符 29"/>
                          <wps:cNvCnPr/>
                          <wps:spPr>
                            <a:xfrm flipH="1">
                              <a:off x="11616" y="502069"/>
                              <a:ext cx="660" cy="1"/>
                            </a:xfrm>
                            <a:prstGeom prst="line">
                              <a:avLst/>
                            </a:prstGeom>
                            <a:ln w="12700" cap="flat" cmpd="sng">
                              <a:solidFill>
                                <a:srgbClr val="000000"/>
                              </a:solidFill>
                              <a:prstDash val="solid"/>
                              <a:headEnd type="none" w="med" len="med"/>
                              <a:tailEnd type="triangle" w="med" len="med"/>
                            </a:ln>
                          </wps:spPr>
                          <wps:bodyPr upright="1"/>
                        </wps:wsp>
                        <wps:wsp>
                          <wps:cNvPr id="47" name="矩形 30"/>
                          <wps:cNvSpPr/>
                          <wps:spPr>
                            <a:xfrm>
                              <a:off x="10524" y="501832"/>
                              <a:ext cx="1068" cy="504"/>
                            </a:xfrm>
                            <a:prstGeom prst="rect">
                              <a:avLst/>
                            </a:prstGeom>
                            <a:noFill/>
                            <a:ln w="12700" cap="flat" cmpd="sng">
                              <a:solidFill>
                                <a:srgbClr val="000000"/>
                              </a:solidFill>
                              <a:prstDash val="solid"/>
                              <a:miter/>
                              <a:headEnd type="none" w="med" len="med"/>
                              <a:tailEnd type="none" w="med" len="med"/>
                            </a:ln>
                          </wps:spPr>
                          <wps:txbx>
                            <w:txbxContent>
                              <w:p w14:paraId="6E5C6966">
                                <w:pPr>
                                  <w:jc w:val="center"/>
                                </w:pPr>
                                <w:r>
                                  <w:rPr>
                                    <w:rFonts w:hint="eastAsia"/>
                                  </w:rPr>
                                  <w:t>加油枪</w:t>
                                </w:r>
                              </w:p>
                            </w:txbxContent>
                          </wps:txbx>
                          <wps:bodyPr upright="1"/>
                        </wps:wsp>
                        <wps:wsp>
                          <wps:cNvPr id="48" name="直接连接符 31"/>
                          <wps:cNvCnPr/>
                          <wps:spPr>
                            <a:xfrm flipH="1">
                              <a:off x="9828" y="502093"/>
                              <a:ext cx="660" cy="1"/>
                            </a:xfrm>
                            <a:prstGeom prst="line">
                              <a:avLst/>
                            </a:prstGeom>
                            <a:ln w="12700" cap="flat" cmpd="sng">
                              <a:solidFill>
                                <a:srgbClr val="000000"/>
                              </a:solidFill>
                              <a:prstDash val="solid"/>
                              <a:headEnd type="none" w="med" len="med"/>
                              <a:tailEnd type="triangle" w="med" len="med"/>
                            </a:ln>
                          </wps:spPr>
                          <wps:bodyPr upright="1"/>
                        </wps:wsp>
                        <wps:wsp>
                          <wps:cNvPr id="49" name="矩形 32"/>
                          <wps:cNvSpPr/>
                          <wps:spPr>
                            <a:xfrm>
                              <a:off x="8437" y="501820"/>
                              <a:ext cx="1367" cy="504"/>
                            </a:xfrm>
                            <a:prstGeom prst="rect">
                              <a:avLst/>
                            </a:prstGeom>
                            <a:noFill/>
                            <a:ln w="12700" cap="flat" cmpd="sng">
                              <a:solidFill>
                                <a:srgbClr val="000000"/>
                              </a:solidFill>
                              <a:prstDash val="solid"/>
                              <a:miter/>
                              <a:headEnd type="none" w="med" len="med"/>
                              <a:tailEnd type="none" w="med" len="med"/>
                            </a:ln>
                          </wps:spPr>
                          <wps:txbx>
                            <w:txbxContent>
                              <w:p w14:paraId="5A3D0006">
                                <w:pPr>
                                  <w:jc w:val="center"/>
                                </w:pPr>
                                <w:r>
                                  <w:rPr>
                                    <w:rFonts w:hint="eastAsia"/>
                                  </w:rPr>
                                  <w:t>加油车辆</w:t>
                                </w:r>
                              </w:p>
                            </w:txbxContent>
                          </wps:txbx>
                          <wps:bodyPr upright="1"/>
                        </wps:wsp>
                        <wps:wsp>
                          <wps:cNvPr id="50" name="矩形 33"/>
                          <wps:cNvSpPr/>
                          <wps:spPr>
                            <a:xfrm>
                              <a:off x="9624" y="501056"/>
                              <a:ext cx="863" cy="456"/>
                            </a:xfrm>
                            <a:prstGeom prst="rect">
                              <a:avLst/>
                            </a:prstGeom>
                            <a:noFill/>
                            <a:ln w="12700">
                              <a:noFill/>
                            </a:ln>
                          </wps:spPr>
                          <wps:txbx>
                            <w:txbxContent>
                              <w:p w14:paraId="359E40D1">
                                <w:r>
                                  <w:rPr>
                                    <w:rFonts w:hint="eastAsia"/>
                                  </w:rPr>
                                  <w:t>油气</w:t>
                                </w:r>
                              </w:p>
                            </w:txbxContent>
                          </wps:txbx>
                          <wps:bodyPr upright="1"/>
                        </wps:wsp>
                        <wps:wsp>
                          <wps:cNvPr id="51" name="肘形连接符 34"/>
                          <wps:cNvCnPr>
                            <a:stCxn id="25" idx="0"/>
                            <a:endCxn id="20" idx="0"/>
                          </wps:cNvCnPr>
                          <wps:spPr>
                            <a:xfrm rot="-5400000" flipV="1">
                              <a:off x="7993" y="497661"/>
                              <a:ext cx="5" cy="5592"/>
                            </a:xfrm>
                            <a:prstGeom prst="bentConnector3">
                              <a:avLst>
                                <a:gd name="adj1" fmla="val 7550000"/>
                              </a:avLst>
                            </a:prstGeom>
                            <a:ln w="12700" cap="flat" cmpd="sng">
                              <a:solidFill>
                                <a:srgbClr val="000000"/>
                              </a:solidFill>
                              <a:prstDash val="dash"/>
                              <a:miter/>
                              <a:headEnd type="none" w="med" len="med"/>
                              <a:tailEnd type="triangle" w="med" len="med"/>
                            </a:ln>
                          </wps:spPr>
                          <wps:bodyPr/>
                        </wps:wsp>
                        <wps:wsp>
                          <wps:cNvPr id="52" name="矩形 35"/>
                          <wps:cNvSpPr/>
                          <wps:spPr>
                            <a:xfrm>
                              <a:off x="7188" y="499736"/>
                              <a:ext cx="863" cy="456"/>
                            </a:xfrm>
                            <a:prstGeom prst="rect">
                              <a:avLst/>
                            </a:prstGeom>
                            <a:noFill/>
                            <a:ln w="12700">
                              <a:noFill/>
                            </a:ln>
                          </wps:spPr>
                          <wps:txbx>
                            <w:txbxContent>
                              <w:p w14:paraId="5CB6427A">
                                <w:r>
                                  <w:rPr>
                                    <w:rFonts w:hint="eastAsia"/>
                                  </w:rPr>
                                  <w:t>油气</w:t>
                                </w:r>
                              </w:p>
                            </w:txbxContent>
                          </wps:txbx>
                          <wps:bodyPr upright="1"/>
                        </wps:wsp>
                      </wpg:grpSp>
                    </wpg:wgp>
                  </a:graphicData>
                </a:graphic>
              </wp:inline>
            </w:drawing>
          </mc:Choice>
          <mc:Fallback>
            <w:pict>
              <v:group id="_x0000_s1026" o:spid="_x0000_s1026" o:spt="203" style="height:237pt;width:432pt;" coordorigin="4704,497595" coordsize="8640,4740" o:gfxdata="UEsDBAoAAAAAAIdO4kAAAAAAAAAAAAAAAAAEAAAAZHJzL1BLAwQUAAAACACHTuJAYlEqsNUAAAAF&#10;AQAADwAAAGRycy9kb3ducmV2LnhtbE2PQUvDQBCF74L/YRnBm91Eay0xmyJFPRXBVii9TbPTJDQ7&#10;G7LbpP33jl70MszjDW++ly/OrlUD9aHxbCCdJKCIS28brgx8bd7u5qBCRLbYeiYDFwqwKK6vcsys&#10;H/mThnWslIRwyNBAHWOXaR3KmhyGie+IxTv43mEU2Vfa9jhKuGv1fZLMtMOG5UONHS1rKo/rkzPw&#10;PuL48pC+DqvjYXnZbR4/tquUjLm9SZNnUJHO8e8YfvAFHQph2vsT26BaA1Ik/k7x5rOpyL2B6ZMs&#10;usj1f/riG1BLAwQUAAAACACHTuJAFYjLwKAHAACSRgAADgAAAGRycy9lMm9Eb2MueG1s7VxNj9tE&#10;GL4j8R8s39t4/O1osz3stuVQQUWB+6ztJAZ/yfZuslfEoSfEEQkJJCSQkDhyQ4hfU7Y/g3c+PDP2&#10;xk2yVdtk5T2skng8tt953ud953lnfPJonaXaVVzVSZHPdPTQ0LU4D4soyRcz/csvnjzwda1ucB7h&#10;tMjjmX4d1/qj048/OlmV09gslkUaxZUGneT1dFXO9GXTlNPJpA6XcYbrh0UZ53BwXlQZbuBrtZhE&#10;FV5B71k6MQ3DnayKKiqrIozrGn49Zwd13mO1S4fFfJ6E8XkRXmZx3rBeqzjFDTxSvUzKWj+ldzuf&#10;x2Hz2Xxex42WznR40ob+h4vA5wvyf3J6gqeLCpfLJOS3gHe5hd4zZTjJ4aKiq3PcYO2ySm51lSVh&#10;VdTFvHkYFtmEPQi1CDwFMnq2eVoVlyV9lsV0tSiF0WGgela/c7fhp1fPKy2JZrrl6VqOMxjxm7+/&#10;e/XDSw1+AOusysUUGj2tyhfl84o9Inx8VoTf1FpefF6ASRFpOOm3JN8X8rT1vMrI6fDM2poOwLUY&#10;gHjdaCH86Ni+axswNiEcswwjCOALHaJwCeNIzrM9w9Y1OGwHnhM47dHHvAdyPjvd9uATuS88ZZem&#10;NyhuaFUCfGtp0/rtbPpiicuYDlVNzMVt6giT/vTXf9//9vrfn+H/zZ+/aza5M3IL0PYsf17xbzU3&#10;cc9WCNk2eCU8tGMYXvvQrdG8wGRPzIahfVw8Lau6eRoXmUY+zPQ0yckd4im+elY3zDJtE/Jzmmsr&#10;GEvTowOAwbXn4FLQdVYCPOp8QU+uizSJniRpSk6pq8XFWVppV5i4F/3jJu80I1c5x/WStaOHSDM8&#10;XcY4epxHWnNdAu5y4Bud3EMWR7qWxkBP5BNt2eAklS2bKsH5Ih1oDSOe5hSQ9ZRZlFj6ooiuYVgu&#10;yypZLBXQUhiwwXjneBAu9vrbH1/986vEA8Wxggdq3OZsnTPXhAFOIuo01BhxHrWHTIAYPWRSw3e6&#10;IF9URGkVcdYHDngY/NHR5M4YOCZzKsCXbdGu8FTgy4JrEIdEXmDx4W0B2uKHQ+wC6PisyHOg3aKy&#10;JNjI4ywiTi84+hrp2jxLgWgBOJodBFYLXQpN6rNtz+TU94XMCDDK4JYlTVx9IIjCZYGqBCw5ib5j&#10;8ncFU3Hyd4khupTOfxAUKpmGw2gjN7cw6jAzHW88vROrt1j5YKweCFv98gd4scZNRcmcBElqp67r&#10;ERRvMJLvBAxvrZGQacFIEGdzIMwRJEgjtx7Bfa0CJ5Mexpq2Tcjl8oKwNPz+/vxHYfa3d6DhaLCZ&#10;35v1xZpb/hCoHkEawtOpXuznadWOsd8JTBb67cA3Ago1Sc0mZEhj7Fczhc3YOAhAQITlgGC04TOG&#10;3ZE2fEPgwLtNG47Hc8CRNgaTyM3QODTagFxrM23QSKHkd5zr1ARPiTKB40vaAHDQONBGmXHG0Jtf&#10;bIbGQbCGTMwYa0Bc4SMPU8ft2YZruBCIetPlFgfID4CUSLZhOzSygB0GMvs7ZhudRGSzlQ/MAU0g&#10;0g5NI5pvcsfbbnBkWL6w+G2iNlxwyzG/e+Ns/zhwMkjUiLLtzkwtxR2S4Y1UrR+ruGPeomqqluzO&#10;HKbpMhUGpM2ROYbVvyOfGZpCBbzpzQzRnrKw6ROxmwZ3n0SdTpIHGhuJM55B5xnDkX2UhT+4LExm&#10;dt2cQ9WDd8g5FOYIDJ8XRUSWN+Yc2ysMx5FzSOWxzxyqBjlQUNLmaVJ+Qqp1yjwRIVfoCoHl9iaK&#10;Lpk8EBbpaq5jaYkEdTbzJp8OYaJowUh1OUTVGXfgEMMRM8UAGX1deuSQe8IhUGprcdLnEFWQ3IdD&#10;ApmGBJZHcxgpUY8UcjRaExR+W2hwrUnVHLdTiG97Fk9HAyOg9CNxgCwX8t5R+Th+5cOCQe5EGnM/&#10;SVJUiWGxgeP3Mo6xALrDcpijSFYt0DI4THqBxlQV1YFAo6SoogIKePFRLzEZK6D9tVKbwXEQKaqU&#10;TFl8Aa19n1qGKIFuJI6xBHpPMlSiaQ0QhyqobicOUQMFvIyrJmdHK6zbcsrCeUPVSbfnpaIGCjiw&#10;EJ3lKHnpWAMFPYgXKfiyZbs/EYBVpvsQtayBbmTqUUu4L0x9ayagypDbHRMJ3XrEyRvXux95xcse&#10;ngqoIuX2iI5ExcsxEGIrZBUqHyte3W0ThzsVsG9NBVTxcSfm8KDcDpUJAILPSpwKEMYIc18ijFxT&#10;0RcRVG1ygDmGKl6ohY5puD09YZSrj0autuU6CjYtgBLYflmq3PWE/P6uJzRyyH3hELm6oschbNsZ&#10;n/vswyGBz4vmjgECJFUlZPQZKeR4KEQuqOAUsqciaZNd0zwLYWUQiYOx4nVfShmOVCQ5TFQhcnu2&#10;Grhiey2CZRbddXq+C7NoUhcd1+CLbfNC8Ovvk4aikgzxhLFJnagWG6XFbuh2LaSyURrGUO6hphts&#10;+d57pn7Vytb73kZpmkZ+1Vs45cGuZV7s9lyXVrSk68Pshla6oXRF7hfmYQPbKu60YdpzQC5hL0aA&#10;nsct03THrbpl+n282aEvkcImeYnM7ZTgIbE/K/Bgzy+cK+FzXJQg36tBN67TV5VQzPPXqpB3oajf&#10;aSv5Kpn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BiUSqw1QAAAAUBAAAPAAAAAAAAAAEAIAAA&#10;ACIAAABkcnMvZG93bnJldi54bWxQSwECFAAUAAAACACHTuJAFYjLwKAHAACSRgAADgAAAAAAAAAB&#10;ACAAAAAkAQAAZHJzL2Uyb0RvYy54bWxQSwUGAAAAAAYABgBZAQAANgsAAAAA&#10;">
                <o:lock v:ext="edit" rotation="t" aspectratio="f"/>
                <v:line id="直接连接符 4" o:spid="_x0000_s1026" o:spt="20" style="position:absolute;left:11448;top:500795;height:1;width:792;" filled="f" stroked="t" coordsize="21600,21600" o:gfxdata="UEsDBAoAAAAAAIdO4kAAAAAAAAAAAAAAAAAEAAAAZHJzL1BLAwQUAAAACACHTuJAKgj5gbkAAADa&#10;AAAADwAAAGRycy9kb3ducmV2LnhtbEVPTWvCQBC9F/wPyxS8FN2otEh0FSwUhZ5qC/U4ZMckNDsb&#10;dyeJ/vuuUOjx8b7X26trVE8h1p4NzKYZKOLC25pLA1+fb5MlqCjIFhvPZOBGEbab0cMac+sH/qD+&#10;KKVKIRxzNFCJtLnWsajIYZz6ljhxZx8cSoKh1DbgkMJdo+dZ9qId1pwaKmzptaLi59i5NEO7IN/7&#10;967b9cVpOM0v8rS4GDN+nGUrUEJX+Rf/uQ/WwDPcryQ/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I+YG5AAAA2g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肘形连接符 5" o:spid="_x0000_s1026" o:spt="34" type="#_x0000_t34" style="position:absolute;left:9524;top:500432;height:1793;width:735;rotation:-5898240f;" filled="f" stroked="t" coordsize="21600,21600" o:gfxdata="UEsDBAoAAAAAAIdO4kAAAAAAAAAAAAAAAAAEAAAAZHJzL1BLAwQUAAAACACHTuJAQ2gJjboAAADa&#10;AAAADwAAAGRycy9kb3ducmV2LnhtbEWPT2sCMRTE70K/Q3gFb5qNpV1ZjR4Kgteqxfb2SJ6bxc3L&#10;dhP/fXtTEDwOM/MbZr68+lacqY9NYA1qXIAgNsE2XGvYbVejKYiYkC22gUnDjSIsFy+DOVY2XPiL&#10;zptUiwzhWKEGl1JXSRmNI49xHDri7B1C7zFl2dfS9njJcN/KSVF8SI8N5wWHHX06MsfNyWsw+ObW&#10;fz/fcm/KtLO/pJR6X2k9fFXFDESia3qGH+211VDC/5V8A+T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aAmNugAAANoA&#10;AAAPAAAAAAAAAAEAIAAAACIAAABkcnMvZG93bnJldi54bWxQSwECFAAUAAAACACHTuJAMy8FnjsA&#10;AAA5AAAAEAAAAAAAAAABACAAAAAJAQAAZHJzL3NoYXBleG1sLnhtbFBLBQYAAAAABgAGAFsBAACz&#10;AwAAAAA=&#10;" adj="10785">
                  <v:fill on="f" focussize="0,0"/>
                  <v:stroke weight="1pt" color="#000000" joinstyle="miter" dashstyle="dash" endarrow="block"/>
                  <v:imagedata o:title=""/>
                  <o:lock v:ext="edit" aspectratio="f"/>
                </v:shape>
                <v:group id="_x0000_s1026" o:spid="_x0000_s1026" o:spt="203" style="position:absolute;left:4704;top:497595;height:4741;width:8640;" coordorigin="4704,497595" coordsize="8640,4741"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6" o:spid="_x0000_s1026" o:spt="1" style="position:absolute;left:4704;top:497859;height:504;width:1236;" filled="f" stroked="t" coordsize="21600,21600" o:gfxdata="UEsDBAoAAAAAAIdO4kAAAAAAAAAAAAAAAAAEAAAAZHJzL1BLAwQUAAAACACHTuJATh2EzL4AAADa&#10;AAAADwAAAGRycy9kb3ducmV2LnhtbEWPQWvCQBSE7wX/w/KEXkrdTVtFU1cPhYLkUKiK9PjIvibB&#10;7Nuwuybx33cLgsdhZr5h1tvRtqInHxrHGrKZAkFcOtNwpeF4+HxegggR2WDrmDRcKcB2M3lYY27c&#10;wN/U72MlEoRDjhrqGLtcylDWZDHMXEecvF/nLcYkfSWNxyHBbStflFpIiw2nhRo7+qipPO8vVkPx&#10;Nlc/8ZS5w/L8uvry7dNpUVy0fpxm6h1EpDHew7f2zmhYwf+Vd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2EzL4A&#10;AADa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124B9F91">
                          <w:r>
                            <w:rPr>
                              <w:rFonts w:hint="eastAsia"/>
                            </w:rPr>
                            <w:t>柴油罐车</w:t>
                          </w:r>
                        </w:p>
                      </w:txbxContent>
                    </v:textbox>
                  </v:rect>
                  <v:line id="直接连接符 7" o:spid="_x0000_s1026" o:spt="20" style="position:absolute;left:5928;top:498096;height:1;width:2099;" filled="f" stroked="t" coordsize="21600,21600" o:gfxdata="UEsDBAoAAAAAAIdO4kAAAAAAAAAAAAAAAAAEAAAAZHJzL1BLAwQUAAAACACHTuJA+8K4mb0AAADb&#10;AAAADwAAAGRycy9kb3ducmV2LnhtbEWPQUvDQBCF74L/YRmhF7GbVhCJ3RZaKAqerII9DtkxCc3O&#10;pruTpP33zkHwNo9535s3q80ldGaklNvIDhbzAgxxFX3LtYOvz/3DM5gsyB67yOTgShk269ubFZY+&#10;TvxB40FqoyGcS3TQiPSltblqKGCex55Ydz8xBRSVqbY+4aThobPLoniyAVvWCw32tGuoOh2GoDVs&#10;SPL9+j4M27E6TsflWe4fz87N7hbFCxihi/yb/+g3r5y211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wriZ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矩形 8" o:spid="_x0000_s1026" o:spt="1" style="position:absolute;left:8028;top:497859;height:504;width:1572;" filled="f" stroked="t" coordsize="21600,21600" o:gfxdata="UEsDBAoAAAAAAIdO4kAAAAAAAAAAAAAAAAAEAAAAZHJzL1BLAwQUAAAACACHTuJAK5iWSrsAAADb&#10;AAAADwAAAGRycy9kb3ducmV2LnhtbEVPS4vCMBC+C/6HMMJeRJP6wq1GD4KweFhYFfE4NLNtsZmU&#10;JL7+vREW9jYf33OW64dtxI18qB1ryIYKBHHhTM2lhuNhO5iDCBHZYOOYNDwpwHrV7SwxN+7OP3Tb&#10;x1KkEA45aqhibHMpQ1GRxTB0LXHifp23GBP0pTQe7yncNnKk1ExarDk1VNjSpqLisr9aDbvJVJ3j&#10;KXOH+WX8+e2b/mm2u2r90cvUAkSkR/wX/7m/TJo/gfcv6Q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iWSr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14:paraId="02D907AB">
                          <w:r>
                            <w:rPr>
                              <w:rFonts w:hint="eastAsia"/>
                            </w:rPr>
                            <w:t>柴油罐卸油口</w:t>
                          </w:r>
                        </w:p>
                      </w:txbxContent>
                    </v:textbox>
                  </v:rect>
                  <v:line id="直接连接符 9" o:spid="_x0000_s1026" o:spt="20" style="position:absolute;left:9588;top:498072;height:1;width:792;" filled="f" stroked="t" coordsize="21600,21600" o:gfxdata="UEsDBAoAAAAAAIdO4kAAAAAAAAAAAAAAAAAEAAAAZHJzL1BLAwQUAAAACACHTuJA67UbAb0AAADb&#10;AAAADwAAAGRycy9kb3ducmV2LnhtbEWPQWvCQBCF7wX/wzIFL0U3Ki0SXQULRaGn2kI9DtkxCc3O&#10;xt1Jov++KxR6m+G9782b9fbqGtVTiLVnA7NpBoq48Lbm0sDX59tkCSoKssXGMxm4UYTtZvSwxtz6&#10;gT+oP0qpUgjHHA1UIm2udSwqchinviVO2tkHh5LWUGobcEjhrtHzLHvRDmtOFyps6bWi4ufYuVRD&#10;uyDf+/eu2/XFaTjNL/K0uBgzfpxlK1BCV/k3/9EHm7hn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RsB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矩形 10" o:spid="_x0000_s1026" o:spt="1" style="position:absolute;left:6060;top:497595;height:456;width:1894;" filled="f" stroked="f" coordsize="21600,21600" o:gfxdata="UEsDBAoAAAAAAIdO4kAAAAAAAAAAAAAAAAAEAAAAZHJzL1BLAwQUAAAACACHTuJAicodU7kAAADb&#10;AAAADwAAAGRycy9kb3ducmV2LnhtbEVP24rCMBB9X/Afwgj7tiaKlLUaRZQFYXXBCz4PzdgWm0lJ&#10;sl7+3giCb3M415nMbrYRF/Khdqyh31MgiAtnai41HPY/X98gQkQ22DgmDXcKMJt2PiaYG3flLV12&#10;sRQphEOOGqoY21zKUFRkMfRcS5y4k/MWY4K+lMbjNYXbRg6UyqTFmlNDhS0tKirOu3+rYbTxx/W8&#10;vhdZFtzw1/wto8K91p/dvhqDiHSLb/HLvTJpfgbPX9IBcv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KHVO5AAAA2wAA&#10;AA8AAAAAAAAAAQAgAAAAIgAAAGRycy9kb3ducmV2LnhtbFBLAQIUABQAAAAIAIdO4kAzLwWeOwAA&#10;ADkAAAAQAAAAAAAAAAEAIAAAAAgBAABkcnMvc2hhcGV4bWwueG1sUEsFBgAAAAAGAAYAWwEAALID&#10;AAAAAA==&#10;">
                    <v:fill on="f" focussize="0,0"/>
                    <v:stroke on="f" weight="1pt"/>
                    <v:imagedata o:title=""/>
                    <o:lock v:ext="edit" aspectratio="f"/>
                    <v:textbox>
                      <w:txbxContent>
                        <w:p w14:paraId="7D3E911C">
                          <w:r>
                            <w:rPr>
                              <w:rFonts w:hint="eastAsia"/>
                            </w:rPr>
                            <w:t>卸油导静电胶管</w:t>
                          </w:r>
                        </w:p>
                      </w:txbxContent>
                    </v:textbox>
                  </v:rect>
                  <v:rect id="矩形 11" o:spid="_x0000_s1026" o:spt="1" style="position:absolute;left:10380;top:497859;height:504;width:1068;" filled="f" stroked="t" coordsize="21600,21600" o:gfxdata="UEsDBAoAAAAAAIdO4kAAAAAAAAAAAAAAAAAEAAAAZHJzL1BLAwQUAAAACACHTuJABVFhGL4AAADb&#10;AAAADwAAAGRycy9kb3ducmV2LnhtbEWPT2sCMRTE70K/Q3iCF6nJrq3oavRQEIqHQtciPT42z93F&#10;zcuSxD/99qYgeBxm5jfManOznbiQD61jDdlEgSCunGm51vCz377OQYSIbLBzTBr+KMBm/TJYYWHc&#10;lb/pUsZaJAiHAjU0MfaFlKFqyGKYuJ44eUfnLcYkfS2Nx2uC207mSs2kxZbTQoM9fTRUncqz1bB7&#10;e1e/8ZC5/fw0XXz5bnyY7c5aj4aZWoKIdIvP8KP9aTTkOfx/ST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FhGL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1371950E">
                          <w:pPr>
                            <w:jc w:val="center"/>
                          </w:pPr>
                          <w:r>
                            <w:rPr>
                              <w:rFonts w:hint="eastAsia"/>
                            </w:rPr>
                            <w:t>柴油罐</w:t>
                          </w:r>
                        </w:p>
                      </w:txbxContent>
                    </v:textbox>
                  </v:rect>
                  <v:line id="直接连接符 12" o:spid="_x0000_s1026" o:spt="20" style="position:absolute;left:11448;top:498072;height:1;width:792;" filled="f" stroked="t" coordsize="21600,21600" o:gfxdata="UEsDBAoAAAAAAIdO4kAAAAAAAAAAAAAAAAAEAAAAZHJzL1BLAwQUAAAACACHTuJAJdnRvL4AAADb&#10;AAAADwAAAGRycy9kb3ducmV2LnhtbEWPQUvDQBCF74L/YRnBi9hNIxVJuy0oiEJPtgVzHLLTJJid&#10;TXcnSf33XUHo8fHmfW/eanN2nRopxNazgfksA0VcedtybeCwf398ARUF2WLnmQz8UoTN+vZmhYX1&#10;E3/RuJNaJQjHAg00In2hdawachhnvidO3tEHh5JkqLUNOCW463SeZc/aYcupocGe3hqqfnaDS29o&#10;F+T7YzsMr2NVTmV+koenkzH3d/NsCUroLNfj//SnNZAv4G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nRv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13" o:spid="_x0000_s1026" o:spt="1" style="position:absolute;left:12264;top:497859;height:504;width:1068;" filled="f" stroked="t" coordsize="21600,21600" o:gfxdata="UEsDBAoAAAAAAIdO4kAAAAAAAAAAAAAAAAAEAAAAZHJzL1BLAwQUAAAACACHTuJAempnG74AAADb&#10;AAAADwAAAGRycy9kb3ducmV2LnhtbEWPT2sCMRTE70K/Q3iCF6nJarvoavRQEIqHQtciPT42z93F&#10;zcuSxD/99qYgeBxm5jfManOznbiQD61jDdlEgSCunGm51vCz377OQYSIbLBzTBr+KMBm/TJYYWHc&#10;lb/pUsZaJAiHAjU0MfaFlKFqyGKYuJ44eUfnLcYkfS2Nx2uC205OlcqlxZbTQoM9fTRUncqz1bB7&#10;e1e/8ZC5/fw0W3z5bnzId2etR8NMLUFEusVn+NH+NBqmOfx/ST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pnG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57180504">
                          <w:pPr>
                            <w:jc w:val="center"/>
                          </w:pPr>
                          <w:r>
                            <w:rPr>
                              <w:rFonts w:hint="eastAsia"/>
                            </w:rPr>
                            <w:t>潜油泵</w:t>
                          </w:r>
                        </w:p>
                      </w:txbxContent>
                    </v:textbox>
                  </v:rect>
                  <v:line id="直接连接符 14" o:spid="_x0000_s1026" o:spt="20" style="position:absolute;left:12840;top:498380;height:708;width:1;" filled="f" stroked="t" coordsize="21600,21600" o:gfxdata="UEsDBAoAAAAAAIdO4kAAAAAAAAAAAAAAAAAEAAAAZHJzL1BLAwQUAAAACACHTuJAukfqUL4AAADb&#10;AAAADwAAAGRycy9kb3ducmV2LnhtbEWPQUvDQBCF74L/YRnBi9hNI1RJuy0oiEJPtgVzHLLTJJid&#10;TXcnSf33XUHo8fHmfW/eanN2nRopxNazgfksA0VcedtybeCwf398ARUF2WLnmQz8UoTN+vZmhYX1&#10;E3/RuJNaJQjHAg00In2hdawachhnvidO3tEHh5JkqLUNOCW463SeZQvtsOXU0GBPbw1VP7vBpTe0&#10;C/L9sR2G17EqpzI/ycPTyZj7u3m2BCV0luvxf/rTGsif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fqU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15" o:spid="_x0000_s1026" o:spt="1" style="position:absolute;left:12264;top:499085;height:504;width:1068;" filled="f" stroked="t" coordsize="21600,21600" o:gfxdata="UEsDBAoAAAAAAIdO4kAAAAAAAAAAAAAAAAAEAAAAZHJzL1BLAwQUAAAACACHTuJAZLlW8roAAADb&#10;AAAADwAAAGRycy9kb3ducmV2LnhtbEVPy4rCMBTdC/5DuIIb0aQ6itMxuhAEcSGMiszy0txpi81N&#10;SeLr781CcHk478XqYRtxIx9qxxqykQJBXDhTc6nhdNwM5yBCRDbYOCYNTwqwWnY7C8yNu/Mv3Q6x&#10;FCmEQ44aqhjbXMpQVGQxjFxLnLh/5y3GBH0pjcd7CreNHCs1kxZrTg0VtrSuqLgcrlbD7muq/uI5&#10;c8f5ZfK9983gPNtdte73MvUDItIjfsRv99ZoGKex6Uv6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uVby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14:paraId="45813287">
                          <w:pPr>
                            <w:jc w:val="center"/>
                          </w:pPr>
                          <w:r>
                            <w:rPr>
                              <w:rFonts w:hint="eastAsia"/>
                            </w:rPr>
                            <w:t>加油机</w:t>
                          </w:r>
                        </w:p>
                      </w:txbxContent>
                    </v:textbox>
                  </v:rect>
                  <v:line id="直接连接符 16" o:spid="_x0000_s1026" o:spt="20" style="position:absolute;left:11628;top:499362;flip:x;height:1;width:660;" filled="f" stroked="t" coordsize="21600,21600" o:gfxdata="UEsDBAoAAAAAAIdO4kAAAAAAAAAAAAAAAAAEAAAAZHJzL1BLAwQUAAAACACHTuJAnqe7sbwAAADb&#10;AAAADwAAAGRycy9kb3ducmV2LnhtbEWPS6vCMBSE94L/IZwL7jRVxEev0YUiFgTBWrnbQ3NuW2xO&#10;ShNf/94IgsthZr5hFquHqcWNWldZVjAcRCCIc6srLhRkp21/BsJ5ZI21ZVLwJAerZbezwFjbOx/p&#10;lvpCBAi7GBWU3jexlC4vyaAb2IY4eP+2NeiDbAupW7wHuKnlKIom0mDFYaHEhtYl5Zf0ahSYoqH0&#10;b3/ZbZLzcZpNx3lSH5xSvZ9h9AvC08N/w592ohWM5vD+En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nu7G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rect id="矩形 17" o:spid="_x0000_s1026" o:spt="1" style="position:absolute;left:10560;top:499109;height:504;width:1068;" filled="f" stroked="t" coordsize="21600,21600" o:gfxdata="UEsDBAoAAAAAAIdO4kAAAAAAAAAAAAAAAAAEAAAAZHJzL1BLAwQUAAAACACHTuJAHxbMKboAAADb&#10;AAAADwAAAGRycy9kb3ducmV2LnhtbEVPy4rCMBTdC/5DuIIb0aQ6itMxuhAEcSGMiszy0txpi81N&#10;SeLr781CcHk478XqYRtxIx9qxxqykQJBXDhTc6nhdNwM5yBCRDbYOCYNTwqwWnY7C8yNu/Mv3Q6x&#10;FCmEQ44aqhjbXMpQVGQxjFxLnLh/5y3GBH0pjcd7CreNHCs1kxZrTg0VtrSuqLgcrlbD7muq/uI5&#10;c8f5ZfK9983gPNtdte73MvUDItIjfsRv99ZomKT16Uv6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wpugAAANs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14:paraId="3494B439">
                          <w:pPr>
                            <w:jc w:val="center"/>
                          </w:pPr>
                          <w:r>
                            <w:rPr>
                              <w:rFonts w:hint="eastAsia"/>
                            </w:rPr>
                            <w:t>加油枪</w:t>
                          </w:r>
                        </w:p>
                      </w:txbxContent>
                    </v:textbox>
                  </v:rect>
                  <v:line id="直接连接符 18" o:spid="_x0000_s1026" o:spt="20" style="position:absolute;left:9840;top:499374;flip:x;height:1;width:660;" filled="f" stroked="t" coordsize="21600,21600" o:gfxdata="UEsDBAoAAAAAAIdO4kAAAAAAAAAAAAAAAAAEAAAAZHJzL1BLAwQUAAAACACHTuJA5Qghar0AAADb&#10;AAAADwAAAGRycy9kb3ducmV2LnhtbEWPT4vCMBTE74LfITzBm6bdFZVq6sFl2YKwYFW8PppnW9q8&#10;lCbrn29vhAWPw8z8hllv7qYVV+pdbVlBPI1AEBdW11wqOB6+J0sQziNrbC2Tggc52KTDwRoTbW+8&#10;p2vuSxEg7BJUUHnfJVK6oiKDbmo74uBdbG/QB9mXUvd4C3DTyo8omkuDNYeFCjvaVlQ0+Z9RYMqO&#10;8vOu+fnKTvvFcTErsvbXKTUexdEKhKe7f4f/25lW8BnD60v4ATJ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CFq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矩形 19" o:spid="_x0000_s1026" o:spt="1" style="position:absolute;left:8473;top:499097;height:504;width:1367;" filled="f" stroked="t" coordsize="21600,21600" o:gfxdata="UEsDBAoAAAAAAIdO4kAAAAAAAAAAAAAAAAAEAAAAZHJzL1BLAwQUAAAACACHTuJAgIj3xb4AAADb&#10;AAAADwAAAGRycy9kb3ducmV2LnhtbEWPS4sCMRCE74L/IbTgRTQZX7izRg+CIB4EH8gem0nvzOCk&#10;MyTxsf9+Iyzssaiqr6jl+mUb8SAfascaspECQVw4U3Op4XLeDhcgQkQ22DgmDT8UYL3qdpaYG/fk&#10;Iz1OsRQJwiFHDVWMbS5lKCqyGEauJU7et/MWY5K+lMbjM8FtI8dKzaXFmtNChS1tKipup7vVsJ/O&#10;1Fe8Zu68uE0+Dr4ZXOf7u9b9XqY+QUR6xf/wX3tnNEzG8P6Sf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j3x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18CD4A7A">
                          <w:pPr>
                            <w:jc w:val="center"/>
                          </w:pPr>
                          <w:r>
                            <w:rPr>
                              <w:rFonts w:hint="eastAsia"/>
                            </w:rPr>
                            <w:t>加油车辆</w:t>
                          </w:r>
                        </w:p>
                      </w:txbxContent>
                    </v:textbox>
                  </v:rect>
                  <v:rect id="矩形 20" o:spid="_x0000_s1026" o:spt="1" style="position:absolute;left:4704;top:500582;height:504;width:1236;" filled="f" stroked="t" coordsize="21600,21600" o:gfxdata="UEsDBAoAAAAAAIdO4kAAAAAAAAAAAAAAAAAEAAAAZHJzL1BLAwQUAAAACACHTuJA78RSXr4AAADb&#10;AAAADwAAAGRycy9kb3ducmV2LnhtbEWPT2sCMRTE70K/Q3hCL1KTdVvR1eihIBQPQtciPT42z93F&#10;zcuSxD/99o0geBxm5jfMcn2znbiQD61jDdlYgSCunGm51vCz37zNQISIbLBzTBr+KMB69TJYYmHc&#10;lb/pUsZaJAiHAjU0MfaFlKFqyGIYu544eUfnLcYkfS2Nx2uC205OlJpKiy2nhQZ7+myoOpVnq2H7&#10;/qF+4yFz+9kpn+98NzpMt2etX4eZWoCIdIvP8KP9ZTTkOdy/pB8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RSXr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52A728FE">
                          <w:r>
                            <w:rPr>
                              <w:rFonts w:hint="eastAsia"/>
                            </w:rPr>
                            <w:t>汽油罐车</w:t>
                          </w:r>
                        </w:p>
                      </w:txbxContent>
                    </v:textbox>
                  </v:rect>
                  <v:line id="直接连接符 21" o:spid="_x0000_s1026" o:spt="20" style="position:absolute;left:5928;top:500819;height:1;width:2099;" filled="f" stroked="t" coordsize="21600,21600" o:gfxdata="UEsDBAoAAAAAAIdO4kAAAAAAAAAAAAAAAAAEAAAAZHJzL1BLAwQUAAAACACHTuJAz0zi+r0AAADb&#10;AAAADwAAAGRycy9kb3ducmV2LnhtbEWPQWvCQBCF70L/wzIFL6IbtUi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OL6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矩形 22" o:spid="_x0000_s1026" o:spt="1" style="position:absolute;left:8028;top:500582;height:504;width:1572;" filled="f" stroked="t" coordsize="21600,21600" o:gfxdata="UEsDBAoAAAAAAIdO4kAAAAAAAAAAAAAAAAAEAAAAZHJzL1BLAwQUAAAACACHTuJAD2Fvsb0AAADb&#10;AAAADwAAAGRycy9kb3ducmV2LnhtbEWPzYoCMRCE7wv7DqEFL4sms66io9HDwoJ4EFZFPDaTdmZw&#10;0hmS+Pf2RhA8FlX1FTVb3GwjLuRD7VhD1lcgiAtnai417LZ/vTGIEJENNo5Jw50CLOafHzPMjbvy&#10;P102sRQJwiFHDVWMbS5lKCqyGPquJU7e0XmLMUlfSuPxmuC2kd9KjaTFmtNChS39VlScNmerYfUz&#10;VIe4z9x2fBpM1r752o9WZ627nUxNQUS6xXf41V4aDYMhPL+k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W+x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14:paraId="3A23FDBA">
                          <w:r>
                            <w:rPr>
                              <w:rFonts w:hint="eastAsia"/>
                            </w:rPr>
                            <w:t>汽油罐卸油口</w:t>
                          </w:r>
                        </w:p>
                      </w:txbxContent>
                    </v:textbox>
                  </v:rect>
                  <v:line id="直接连接符 23" o:spid="_x0000_s1026" o:spt="20" style="position:absolute;left:9588;top:500795;height:1;width:792;" filled="f" stroked="t" coordsize="21600,21600" o:gfxdata="UEsDBAoAAAAAAIdO4kAAAAAAAAAAAAAAAAAEAAAAZHJzL1BLAwQUAAAACACHTuJA6HGXhL0AAADb&#10;AAAADwAAAGRycy9kb3ducmV2LnhtbEWPwUrDQBCG74LvsIzgReymVYrEbgstiIIn24I9DtkxCWZn&#10;091JUt/eOQgeh3/+b75ZbS6hMyOl3EZ2MJ8VYIir6FuuHRwPL/dPYLIge+wik4MfyrBZX1+tsPRx&#10;4g8a91IbhXAu0UEj0pfW5qqhgHkWe2LNvmIKKDqm2vqEk8JDZxdFsbQBW9YLDfa0a6j63g9BNWxI&#10;8vn6PgzbsTpNp8VZ7h7Ozt3ezItnMEIX+V/+a795B49qr78oAO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ZeE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矩形 24" o:spid="_x0000_s1026" o:spt="1" style="position:absolute;left:6060;top:500318;height:456;width:1894;" filled="f" stroked="f" coordsize="21600,21600" o:gfxdata="UEsDBAoAAAAAAIdO4kAAAAAAAAAAAAAAAAAEAAAAZHJzL1BLAwQUAAAACACHTuJAFZCqOr0AAADb&#10;AAAADwAAAGRycy9kb3ducmV2LnhtbEWPS2vDMBCE74X8B7GB3hrJJZjEsRxCQqHQNpAHOS/Wxjax&#10;VkZS8/j3VaHQ4zAz3zDl8m57cSUfOscasokCQVw703Gj4Xh4e5mBCBHZYO+YNDwowLIaPZVYGHfj&#10;HV33sREJwqFADW2MQyFlqFuyGCZuIE7e2XmLMUnfSOPxluC2l69K5dJix2mhxYHWLdWX/bfVMP/y&#10;p89V96jzPLjph9luosKD1s/jTC1ARLrH//Bf+91omGbw+yX9AF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o6vQAA&#10;ANs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14:paraId="4DC696CF">
                          <w:r>
                            <w:rPr>
                              <w:rFonts w:hint="eastAsia"/>
                            </w:rPr>
                            <w:t>卸油导静电胶管</w:t>
                          </w:r>
                        </w:p>
                      </w:txbxContent>
                    </v:textbox>
                  </v:rect>
                  <v:rect id="矩形 25" o:spid="_x0000_s1026" o:spt="1" style="position:absolute;left:10380;top:500582;height:504;width:1068;" filled="f" stroked="t" coordsize="21600,21600" o:gfxdata="UEsDBAoAAAAAAIdO4kAAAAAAAAAAAAAAAAAEAAAAZHJzL1BLAwQUAAAACACHTuJA2I6EuL0AAADb&#10;AAAADwAAAGRycy9kb3ducmV2LnhtbEWPzYoCMRCE7wu+Q2jBy6LJuCo6Gj0IgnhYWBXx2EzamcFJ&#10;Z0ji39ubhYU9FlX1FbVYPW0j7uRD7VhDNlAgiAtnai41HA+b/hREiMgGG8ek4UUBVsvOxwJz4x78&#10;Q/d9LEWCcMhRQxVjm0sZiooshoFriZN3cd5iTNKX0nh8JLht5FCpibRYc1qosKV1RcV1f7MadqOx&#10;OsdT5g7T69fs2zefp8nupnWvm6k5iEjP+B/+a2+NhtEQfr+kH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oS4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14:paraId="7F96E162">
                          <w:pPr>
                            <w:jc w:val="center"/>
                          </w:pPr>
                          <w:r>
                            <w:rPr>
                              <w:rFonts w:hint="eastAsia"/>
                            </w:rPr>
                            <w:t>汽油罐</w:t>
                          </w:r>
                        </w:p>
                      </w:txbxContent>
                    </v:textbox>
                  </v:rect>
                  <v:rect id="矩形 26" o:spid="_x0000_s1026" o:spt="1" style="position:absolute;left:12264;top:500582;height:504;width:1068;" filled="f" stroked="t" coordsize="21600,21600" o:gfxdata="UEsDBAoAAAAAAIdO4kAAAAAAAAAAAAAAAAAEAAAAZHJzL1BLAwQUAAAACACHTuJAt8IhI74AAADb&#10;AAAADwAAAGRycy9kb3ducmV2LnhtbEWPS4sCMRCE74L/IbSwF9Fk1gc6a/SwsLB4EHwgHptJ78zg&#10;pDMk8bH/3giCx6KqvqIWq7ttxJV8qB1ryIYKBHHhTM2lhsP+ZzADESKywcYxafinAKtlt7PA3Lgb&#10;b+m6i6VIEA45aqhibHMpQ1GRxTB0LXHy/py3GJP0pTQebwluG/mp1FRarDktVNjSd0XFeXexGtbj&#10;iTrFY+b2s/NovvFN/zhdX7T+6GXqC0Ske3yHX+1fo2E8gueX9A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IhI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4EBE85FE">
                          <w:pPr>
                            <w:jc w:val="center"/>
                          </w:pPr>
                          <w:r>
                            <w:rPr>
                              <w:rFonts w:hint="eastAsia"/>
                            </w:rPr>
                            <w:t>潜油泵</w:t>
                          </w:r>
                        </w:p>
                      </w:txbxContent>
                    </v:textbox>
                  </v:rect>
                  <v:line id="直接连接符 27" o:spid="_x0000_s1026" o:spt="20" style="position:absolute;left:12840;top:501104;height:708;width:1;"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矩形 28" o:spid="_x0000_s1026" o:spt="1" style="position:absolute;left:12276;top:501808;height:504;width:1068;" filled="f" stroked="t" coordsize="21600,21600" o:gfxdata="UEsDBAoAAAAAAIdO4kAAAAAAAAAAAAAAAAAEAAAAZHJzL1BLAwQUAAAACACHTuJAV2cczL4AAADb&#10;AAAADwAAAGRycy9kb3ducmV2LnhtbEWPS4sCMRCE78L+h9CCF9Fk1gc6Gj0sLIiHhVURj82knRmc&#10;dIYkvv69ERb2WFTVV9Ry/bCNuJEPtWMN2VCBIC6cqbnUcNh/D2YgQkQ22DgmDU8KsF59dJaYG3fn&#10;X7rtYikShEOOGqoY21zKUFRkMQxdS5y8s/MWY5K+lMbjPcFtIz+VmkqLNaeFClv6qqi47K5Ww3Y8&#10;Uad4zNx+dhnNf3zTP063V6173UwtQER6xP/wX3tjNIwn8P6Sf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cczL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6374A23B">
                          <w:pPr>
                            <w:jc w:val="center"/>
                          </w:pPr>
                          <w:r>
                            <w:rPr>
                              <w:rFonts w:hint="eastAsia"/>
                            </w:rPr>
                            <w:t>加油机</w:t>
                          </w:r>
                        </w:p>
                      </w:txbxContent>
                    </v:textbox>
                  </v:rect>
                  <v:line id="直接连接符 29" o:spid="_x0000_s1026" o:spt="20" style="position:absolute;left:11616;top:502069;flip:x;height:1;width:660;" filled="f" stroked="t" coordsize="21600,21600" o:gfxdata="UEsDBAoAAAAAAIdO4kAAAAAAAAAAAAAAAAAEAAAAZHJzL1BLAwQUAAAACACHTuJAMufKY7kAAADb&#10;AAAADwAAAGRycy9kb3ducmV2LnhtbEWPzQrCMBCE74LvEFbwpqkiKtXoQRELgmBVvC7N2habTWni&#10;39sbQfA4zMw3zHz5MpV4UONKywoG/QgEcWZ1ybmC03HTm4JwHlljZZkUvMnBctFuzTHW9skHeqQ+&#10;FwHCLkYFhfd1LKXLCjLo+rYmDt7VNgZ9kE0udYPPADeVHEbRWBosOSwUWNOqoOyW3o0Ck9eUXna3&#10;7To5HyanyShLqr1TqtsZRDMQnl7+H/61E61gN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nymO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rect id="矩形 30" o:spid="_x0000_s1026" o:spt="1" style="position:absolute;left:10524;top:501832;height:504;width:1068;" filled="f" stroked="t" coordsize="21600,21600" o:gfxdata="UEsDBAoAAAAAAIdO4kAAAAAAAAAAAAAAAAAEAAAAZHJzL1BLAwQUAAAACACHTuJAyPknIL8AAADb&#10;AAAADwAAAGRycy9kb3ducmV2LnhtbEWPS2vDMBCE74X8B7GBXkojOUnzcCP7ECiEHApJSuhxsba2&#10;ibUykvL691Gh0OMwM98wq/JmO3EhH1rHGrKRAkFcOdNyreHr8PG6ABEissHOMWm4U4CyGDytMDfu&#10;yju67GMtEoRDjhqaGPtcylA1ZDGMXE+cvB/nLcYkfS2Nx2uC206OlZpJiy2nhQZ7WjdUnfZnq2E7&#10;fVPf8Zi5w+I0WX767uU42561fh5m6h1EpFv8D/+1N0bDdA6/X9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5JyC/&#10;AAAA2w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14:paraId="6E5C6966">
                          <w:pPr>
                            <w:jc w:val="center"/>
                          </w:pPr>
                          <w:r>
                            <w:rPr>
                              <w:rFonts w:hint="eastAsia"/>
                            </w:rPr>
                            <w:t>加油枪</w:t>
                          </w:r>
                        </w:p>
                      </w:txbxContent>
                    </v:textbox>
                  </v:rect>
                  <v:line id="直接连接符 31" o:spid="_x0000_s1026" o:spt="20" style="position:absolute;left:9828;top:502093;flip:x;height:1;width:660;" filled="f" stroked="t" coordsize="21600,21600" o:gfxdata="UEsDBAoAAAAAAIdO4kAAAAAAAAAAAAAAAAAEAAAAZHJzL1BLAwQUAAAACACHTuJALDT7irYAAADb&#10;AAAADwAAAGRycy9kb3ducmV2LnhtbEVPSwrCMBDdC94hjOBOU0VUqtGFIhYEwVpxOzRjW2wmpYm/&#10;25uF4PLx/sv129TiSa2rLCsYDSMQxLnVFRcKsvNuMAfhPLLG2jIp+JCD9arbWWKs7YtP9Ex9IUII&#10;uxgVlN43sZQuL8mgG9qGOHA32xr0AbaF1C2+Qrip5TiKptJgxaGhxIY2JeX39GEUmKKh9Hq477fJ&#10;5TTLZpM8qY9OqX5vFC1AeHr7v/jnTrSCS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w0+4q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f"/>
                  </v:line>
                  <v:rect id="矩形 32" o:spid="_x0000_s1026" o:spt="1" style="position:absolute;left:8437;top:501820;height:504;width:1367;" filled="f" stroked="t" coordsize="21600,21600" o:gfxdata="UEsDBAoAAAAAAIdO4kAAAAAAAAAAAAAAAAAEAAAAZHJzL1BLAwQUAAAACACHTuJA1ioWyb4AAADb&#10;AAAADwAAAGRycy9kb3ducmV2LnhtbEWPS4sCMRCE78L+h9CCF9Fk1gc6Gj0sLIiHhVURj82knRmc&#10;dIYkvv69ERb2WFTVV9Ry/bCNuJEPtWMN2VCBIC6cqbnUcNh/D2YgQkQ22DgmDU8KsF59dJaYG3fn&#10;X7rtYikShEOOGqoY21zKUFRkMQxdS5y8s/MWY5K+lMbjPcFtIz+VmkqLNaeFClv6qqi47K5Ww3Y8&#10;Uad4zNx+dhnNf3zTP063V6173UwtQER6xP/wX3tjNIzn8P6Sf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oWy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14:paraId="5A3D0006">
                          <w:pPr>
                            <w:jc w:val="center"/>
                          </w:pPr>
                          <w:r>
                            <w:rPr>
                              <w:rFonts w:hint="eastAsia"/>
                            </w:rPr>
                            <w:t>加油车辆</w:t>
                          </w:r>
                        </w:p>
                      </w:txbxContent>
                    </v:textbox>
                  </v:rect>
                  <v:rect id="矩形 33" o:spid="_x0000_s1026" o:spt="1" style="position:absolute;left:9624;top:501056;height:456;width:863;" filled="f" stroked="f" coordsize="21600,21600" o:gfxdata="UEsDBAoAAAAAAIdO4kAAAAAAAAAAAAAAAAAEAAAAZHJzL1BLAwQUAAAACACHTuJA/wWZfLgAAADb&#10;AAAADwAAAGRycy9kb3ducmV2LnhtbEVPy4rCMBTdC/5DuII7TRy0OB2jiIMwMCqow6wvzbUtNjcl&#10;ia+/NwvB5eG8Z4u7bcSVfKgdaxgNFQjiwpmaSw1/x/VgCiJEZIONY9LwoACLebczw9y4G+/peoil&#10;SCEcctRQxdjmUoaiIoth6FrixJ2ctxgT9KU0Hm8p3DbyQ6lMWqw5NVTY0qqi4ny4WA2fW/+/WdaP&#10;IsuCG/+a3XdUeNS63xupLxCR7vEtfrl/jIZJWp++pB8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ZfLgAAADbAAAA&#10;DwAAAAAAAAABACAAAAAiAAAAZHJzL2Rvd25yZXYueG1sUEsBAhQAFAAAAAgAh07iQDMvBZ47AAAA&#10;OQAAABAAAAAAAAAAAQAgAAAABwEAAGRycy9zaGFwZXhtbC54bWxQSwUGAAAAAAYABgBbAQAAsQMA&#10;AAAA&#10;">
                    <v:fill on="f" focussize="0,0"/>
                    <v:stroke on="f" weight="1pt"/>
                    <v:imagedata o:title=""/>
                    <o:lock v:ext="edit" aspectratio="f"/>
                    <v:textbox>
                      <w:txbxContent>
                        <w:p w14:paraId="359E40D1">
                          <w:r>
                            <w:rPr>
                              <w:rFonts w:hint="eastAsia"/>
                            </w:rPr>
                            <w:t>油气</w:t>
                          </w:r>
                        </w:p>
                      </w:txbxContent>
                    </v:textbox>
                  </v:rect>
                  <v:shape id="肘形连接符 34" o:spid="_x0000_s1026" o:spt="34" type="#_x0000_t34" style="position:absolute;left:7993;top:497661;flip:y;height:5592;width:5;rotation:5898240f;" filled="f" stroked="t" coordsize="21600,21600" o:gfxdata="UEsDBAoAAAAAAIdO4kAAAAAAAAAAAAAAAAAEAAAAZHJzL1BLAwQUAAAACACHTuJAc3vo870AAADb&#10;AAAADwAAAGRycy9kb3ducmV2LnhtbEWPQWvCQBSE70L/w/IK3nQTUbHRVUq1oAcP1dDzI/vMBrNv&#10;Q3bV1F/vCkKPw8x8wyxWna3FlVpfOVaQDhMQxIXTFZcK8uP3YAbCB2SNtWNS8EceVsu33gIz7W78&#10;Q9dDKEWEsM9QgQmhyaT0hSGLfuga4uidXGsxRNmWUrd4i3Bby1GSTKXFiuOCwYa+DBXnw8Uq2Ixd&#10;buR9vZt2n7/V/mOXz473s1L99zSZgwjUhf/wq73VCiYp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zvQAA&#10;ANsAAAAPAAAAAAAAAAEAIAAAACIAAABkcnMvZG93bnJldi54bWxQSwECFAAUAAAACACHTuJAMy8F&#10;njsAAAA5AAAAEAAAAAAAAAABACAAAAAMAQAAZHJzL3NoYXBleG1sLnhtbFBLBQYAAAAABgAGAFsB&#10;AAC2AwAAAAA=&#10;" adj="1630800">
                    <v:fill on="f" focussize="0,0"/>
                    <v:stroke weight="1pt" color="#000000" joinstyle="miter" dashstyle="dash" endarrow="block"/>
                    <v:imagedata o:title=""/>
                    <o:lock v:ext="edit" aspectratio="f"/>
                  </v:shape>
                  <v:rect id="矩形 35" o:spid="_x0000_s1026" o:spt="1" style="position:absolute;left:7188;top:499736;height:456;width:863;" filled="f" stroked="f" coordsize="21600,21600" o:gfxdata="UEsDBAoAAAAAAIdO4kAAAAAAAAAAAAAAAAAEAAAAZHJzL1BLAwQUAAAACACHTuJAYJuikLwAAADb&#10;AAAADwAAAGRycy9kb3ducmV2LnhtbEWP3WoCMRSE7wu+QziCd5oodqmrUUpFEFqFqnh92Bx3Fzcn&#10;SxL/3r4RhF4OM/MNM1vcbSOu5EPtWMNwoEAQF87UXGo47Ff9DxAhIhtsHJOGBwVYzDtvM8yNu/Ev&#10;XXexFAnCIUcNVYxtLmUoKrIYBq4lTt7JeYsxSV9K4/GW4LaRI6UyabHmtFBhS18VFefdxWqYbPzx&#10;57N+FFkW3PjbbJdR4V7rXneopiAi3eN/+NVeGw3vI3h+ST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bopC8AAAA&#10;2wAAAA8AAAAAAAAAAQAgAAAAIgAAAGRycy9kb3ducmV2LnhtbFBLAQIUABQAAAAIAIdO4kAzLwWe&#10;OwAAADkAAAAQAAAAAAAAAAEAIAAAAAsBAABkcnMvc2hhcGV4bWwueG1sUEsFBgAAAAAGAAYAWwEA&#10;ALUDAAAAAA==&#10;">
                    <v:fill on="f" focussize="0,0"/>
                    <v:stroke on="f" weight="1pt"/>
                    <v:imagedata o:title=""/>
                    <o:lock v:ext="edit" aspectratio="f"/>
                    <v:textbox>
                      <w:txbxContent>
                        <w:p w14:paraId="5CB6427A">
                          <w:r>
                            <w:rPr>
                              <w:rFonts w:hint="eastAsia"/>
                            </w:rPr>
                            <w:t>油气</w:t>
                          </w:r>
                        </w:p>
                      </w:txbxContent>
                    </v:textbox>
                  </v:rect>
                </v:group>
                <w10:wrap type="none"/>
                <w10:anchorlock/>
              </v:group>
            </w:pict>
          </mc:Fallback>
        </mc:AlternateContent>
      </w:r>
    </w:p>
    <w:p w14:paraId="1573E62A">
      <w:pPr>
        <w:autoSpaceDE w:val="0"/>
        <w:autoSpaceDN w:val="0"/>
        <w:adjustRightInd w:val="0"/>
        <w:spacing w:before="156" w:beforeLines="50" w:line="360" w:lineRule="auto"/>
        <w:jc w:val="center"/>
        <w:rPr>
          <w:rFonts w:hint="eastAsia" w:ascii="宋体" w:hAnsi="宋体" w:cs="宋体"/>
          <w:b/>
          <w:bCs/>
          <w:snapToGrid w:val="0"/>
          <w:sz w:val="24"/>
          <w:szCs w:val="24"/>
        </w:rPr>
      </w:pPr>
      <w:r>
        <w:rPr>
          <w:rFonts w:hint="eastAsia" w:ascii="宋体" w:hAnsi="宋体" w:cs="宋体"/>
          <w:kern w:val="0"/>
          <w:sz w:val="24"/>
          <w:szCs w:val="24"/>
        </w:rPr>
        <w:t>图2-3 加油和卸油工艺流程图</w:t>
      </w:r>
    </w:p>
    <w:p w14:paraId="1F6A47C9">
      <w:pPr>
        <w:pStyle w:val="3"/>
        <w:keepNext/>
        <w:keepLines/>
        <w:pageBreakBefore w:val="0"/>
        <w:widowControl w:val="0"/>
        <w:kinsoku/>
        <w:wordWrap/>
        <w:overflowPunct/>
        <w:topLinePunct w:val="0"/>
        <w:autoSpaceDE/>
        <w:autoSpaceDN/>
        <w:bidi w:val="0"/>
        <w:adjustRightInd/>
        <w:snapToGrid/>
        <w:spacing w:before="0" w:after="0" w:afterLines="0" w:line="600" w:lineRule="exact"/>
        <w:textAlignment w:val="auto"/>
        <w:outlineLvl w:val="2"/>
        <w:rPr>
          <w:rFonts w:hint="eastAsia" w:ascii="宋体" w:hAnsi="宋体" w:eastAsia="宋体" w:cs="宋体"/>
          <w:color w:val="000000"/>
          <w:kern w:val="3"/>
          <w:sz w:val="30"/>
          <w:szCs w:val="30"/>
        </w:rPr>
      </w:pPr>
      <w:bookmarkStart w:id="88" w:name="_Toc2837"/>
      <w:bookmarkStart w:id="89" w:name="_Toc8246"/>
      <w:bookmarkStart w:id="90" w:name="_Toc29592"/>
      <w:bookmarkStart w:id="91" w:name="_Toc15965"/>
      <w:bookmarkStart w:id="92" w:name="_Toc29582"/>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4</w:t>
      </w:r>
      <w:r>
        <w:rPr>
          <w:rFonts w:hint="eastAsia" w:ascii="宋体" w:hAnsi="宋体" w:eastAsia="宋体" w:cs="宋体"/>
          <w:color w:val="000000"/>
          <w:kern w:val="3"/>
          <w:sz w:val="30"/>
          <w:szCs w:val="30"/>
        </w:rPr>
        <w:t>.2油气回收工艺</w:t>
      </w:r>
      <w:bookmarkEnd w:id="88"/>
      <w:bookmarkEnd w:id="89"/>
      <w:bookmarkEnd w:id="90"/>
      <w:bookmarkEnd w:id="91"/>
      <w:bookmarkEnd w:id="92"/>
    </w:p>
    <w:p w14:paraId="4EBE3CA6">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卸油油气回收：汽油卸油油气回收系统是在油罐车卸车过程中，实现全封闭气体回收，限制油气向大气中排放。即在油罐车与储油罐输油管及油气回收管连接成一个密闭油气回收管路。油罐车通过卸油管路卸油的同时，加油站油罐中的油气通过回气管路回到油罐车中。</w:t>
      </w:r>
    </w:p>
    <w:p w14:paraId="7ADEFBEC">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加油油气回收：加油油气回收是指汽车加油时，利用加油枪上的特殊装置，将原本会由汽车油箱逸散于空气中的油气，经加油枪、真空泵、通过油气回收管回收入油罐。当油罐内压力过大时，油罐通气管上的呼吸阀会自动打开，由排气口排出过压的气体。当油罐内压力过低时，油罐通气管上的呼吸阀会自动打开，通过排气口吸入外界空气，以平衡油罐内压力，防止油罐吸瘪。</w:t>
      </w:r>
    </w:p>
    <w:p w14:paraId="59C06BE1">
      <w:pPr>
        <w:pStyle w:val="3"/>
        <w:keepNext/>
        <w:keepLines/>
        <w:pageBreakBefore w:val="0"/>
        <w:widowControl w:val="0"/>
        <w:kinsoku/>
        <w:wordWrap/>
        <w:overflowPunct/>
        <w:topLinePunct w:val="0"/>
        <w:autoSpaceDE/>
        <w:autoSpaceDN/>
        <w:bidi w:val="0"/>
        <w:adjustRightInd/>
        <w:snapToGrid/>
        <w:spacing w:before="0" w:after="0" w:afterLines="0" w:line="600" w:lineRule="exact"/>
        <w:textAlignment w:val="auto"/>
        <w:outlineLvl w:val="2"/>
        <w:rPr>
          <w:rFonts w:hint="eastAsia" w:ascii="宋体" w:hAnsi="宋体" w:eastAsia="宋体" w:cs="宋体"/>
          <w:color w:val="000000"/>
          <w:kern w:val="3"/>
          <w:sz w:val="30"/>
          <w:szCs w:val="30"/>
        </w:rPr>
      </w:pPr>
      <w:bookmarkStart w:id="93" w:name="_Toc22369"/>
      <w:bookmarkStart w:id="94" w:name="_Toc32179"/>
      <w:bookmarkStart w:id="95" w:name="_Toc4585"/>
      <w:bookmarkStart w:id="96" w:name="_Toc1786"/>
      <w:bookmarkStart w:id="97" w:name="_Toc14042"/>
      <w:bookmarkStart w:id="98" w:name="_Toc9581"/>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4</w:t>
      </w:r>
      <w:r>
        <w:rPr>
          <w:rFonts w:hint="eastAsia" w:ascii="宋体" w:hAnsi="宋体" w:eastAsia="宋体" w:cs="宋体"/>
          <w:color w:val="000000"/>
          <w:kern w:val="3"/>
          <w:sz w:val="30"/>
          <w:szCs w:val="30"/>
        </w:rPr>
        <w:t>.3计量工艺</w:t>
      </w:r>
      <w:bookmarkEnd w:id="93"/>
      <w:bookmarkEnd w:id="94"/>
      <w:bookmarkEnd w:id="95"/>
      <w:bookmarkEnd w:id="96"/>
      <w:bookmarkEnd w:id="97"/>
      <w:bookmarkEnd w:id="98"/>
    </w:p>
    <w:p w14:paraId="7A2CBE72">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人工计量：由人工使用量油标尺通过油罐的人工量油孔测量油位高度。油品计量包括油品测量和油量计算，油品测量包括：油高测量（油水总高）、水高测量、油温计量、油品取样、视密度和试验温度的测定。油量计算包括容积计算和重量计算，各环节损耗计算。油品测量所使用的量油尺、量水尺、密度计、温度计及储油油罐的容积表符合油品计量技术性能要求。</w:t>
      </w:r>
    </w:p>
    <w:p w14:paraId="1DA0952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cs="宋体"/>
          <w:kern w:val="0"/>
          <w:sz w:val="28"/>
          <w:szCs w:val="28"/>
        </w:rPr>
      </w:pPr>
      <w:r>
        <w:rPr>
          <w:rFonts w:hint="eastAsia" w:ascii="宋体" w:hAnsi="宋体" w:cs="宋体"/>
          <w:kern w:val="0"/>
          <w:sz w:val="28"/>
          <w:szCs w:val="28"/>
        </w:rPr>
        <w:t>液位仪计量：油罐安装有磁致伸缩液位仪，配合液位监控报警仪使用，可通过人机界面设定和监控油罐油位高、水位高，并有低液位报警和高液位报警功能。通过该系统可读取报警信息、卸油记录等，具有显示、存储、报警和人机交互功能。安装有液位仪的加油站需定期采用人工方式测量油位，并对人工测量数据和液位仪数据进行比对，以实现液位仪的校核，防止液位仪出现故障或较大偏差。</w:t>
      </w:r>
    </w:p>
    <w:p w14:paraId="6DE5CAB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cs="宋体"/>
          <w:kern w:val="0"/>
          <w:sz w:val="28"/>
          <w:szCs w:val="28"/>
        </w:rPr>
      </w:pPr>
      <w:r>
        <w:rPr>
          <w:rFonts w:hint="eastAsia" w:ascii="宋体" w:hAnsi="宋体" w:cs="宋体"/>
          <w:kern w:val="0"/>
          <w:sz w:val="28"/>
          <w:szCs w:val="28"/>
        </w:rPr>
        <w:t>泄漏检测：双层油罐和双层复合管设有泄漏检测报警仪，当油罐或双层复合管发生泄漏时，能及时发现并报警。</w:t>
      </w:r>
    </w:p>
    <w:p w14:paraId="05BEBFC4">
      <w:pPr>
        <w:pStyle w:val="3"/>
        <w:keepNext/>
        <w:keepLines/>
        <w:pageBreakBefore w:val="0"/>
        <w:widowControl w:val="0"/>
        <w:kinsoku/>
        <w:wordWrap/>
        <w:overflowPunct/>
        <w:topLinePunct w:val="0"/>
        <w:autoSpaceDE/>
        <w:autoSpaceDN/>
        <w:bidi w:val="0"/>
        <w:adjustRightInd/>
        <w:snapToGrid/>
        <w:spacing w:before="0" w:after="0" w:afterLines="0" w:line="600" w:lineRule="exact"/>
        <w:textAlignment w:val="auto"/>
        <w:outlineLvl w:val="2"/>
        <w:rPr>
          <w:rFonts w:hint="eastAsia" w:ascii="宋体" w:hAnsi="宋体" w:eastAsia="宋体" w:cs="宋体"/>
          <w:color w:val="000000"/>
          <w:kern w:val="3"/>
          <w:sz w:val="30"/>
          <w:szCs w:val="30"/>
        </w:rPr>
      </w:pPr>
      <w:bookmarkStart w:id="99" w:name="_Toc2050"/>
      <w:bookmarkStart w:id="100" w:name="_Toc10510"/>
      <w:bookmarkStart w:id="101" w:name="_Toc4048"/>
      <w:bookmarkStart w:id="102" w:name="_Toc665"/>
      <w:bookmarkStart w:id="103" w:name="_Toc13455"/>
      <w:bookmarkStart w:id="104" w:name="_Toc29688"/>
      <w:bookmarkStart w:id="105" w:name="_Toc31836"/>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4</w:t>
      </w:r>
      <w:r>
        <w:rPr>
          <w:rFonts w:hint="eastAsia" w:ascii="宋体" w:hAnsi="宋体" w:eastAsia="宋体" w:cs="宋体"/>
          <w:color w:val="000000"/>
          <w:kern w:val="3"/>
          <w:sz w:val="30"/>
          <w:szCs w:val="30"/>
        </w:rPr>
        <w:t>.4工艺管道</w:t>
      </w:r>
      <w:bookmarkEnd w:id="99"/>
      <w:bookmarkEnd w:id="100"/>
      <w:bookmarkEnd w:id="101"/>
      <w:bookmarkEnd w:id="102"/>
      <w:bookmarkEnd w:id="103"/>
      <w:bookmarkEnd w:id="104"/>
      <w:bookmarkEnd w:id="105"/>
    </w:p>
    <w:p w14:paraId="3B0974CD">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出油管、卸油管、通气管、潜油泵、液位仪、人工量油孔均设置在人孔盖上，工艺管道除卸油口和通气管裸露外，其余管道为埋地敷设。工艺管道未从站房底部基础穿过，未设置工艺管道沟和电缆沟，采用直埋铺设。加油管道为双层复合管，其余工艺管道为单层金属材质管道，管道已作防腐处理。</w:t>
      </w:r>
    </w:p>
    <w:p w14:paraId="32367430">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工艺管道法兰已跨接，现场检查时未发现虚接、脱落、断裂的情况。</w:t>
      </w:r>
    </w:p>
    <w:p w14:paraId="6F76A482">
      <w:pPr>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cs="宋体"/>
          <w:kern w:val="0"/>
          <w:sz w:val="28"/>
          <w:szCs w:val="28"/>
        </w:rPr>
      </w:pPr>
      <w:r>
        <w:rPr>
          <w:rFonts w:hint="eastAsia" w:ascii="宋体" w:hAnsi="宋体" w:cs="宋体"/>
          <w:kern w:val="0"/>
          <w:sz w:val="28"/>
          <w:szCs w:val="28"/>
        </w:rPr>
        <w:t>在油罐顶部纵向中心线上设有钢制检测立管。检测立管壁厚为4mm，直径为80mm，底部管口与油罐内外壁相连并安装有防尘盖，油罐通气管的管口安装有阻火器，油气回收通气管的管口安装有呼吸阀和阻火器。</w:t>
      </w:r>
    </w:p>
    <w:p w14:paraId="1DB24311">
      <w:pPr>
        <w:pStyle w:val="4"/>
        <w:keepNext/>
        <w:keepLines/>
        <w:pageBreakBefore w:val="0"/>
        <w:widowControl w:val="0"/>
        <w:kinsoku/>
        <w:wordWrap/>
        <w:overflowPunct/>
        <w:topLinePunct w:val="0"/>
        <w:autoSpaceDE/>
        <w:autoSpaceDN/>
        <w:bidi w:val="0"/>
        <w:adjustRightInd/>
        <w:snapToGrid/>
        <w:spacing w:before="0" w:beforeLines="0" w:after="0" w:afterLines="0" w:line="500" w:lineRule="exact"/>
        <w:textAlignment w:val="auto"/>
        <w:rPr>
          <w:rFonts w:hint="default"/>
          <w:b/>
          <w:sz w:val="30"/>
          <w:szCs w:val="30"/>
          <w:lang w:val="en-US" w:eastAsia="zh-CN"/>
        </w:rPr>
      </w:pPr>
      <w:bookmarkStart w:id="106" w:name="_Toc12388"/>
      <w:bookmarkStart w:id="107" w:name="_Toc5152"/>
      <w:bookmarkStart w:id="108" w:name="_Toc2172"/>
      <w:bookmarkStart w:id="109" w:name="_Toc26302"/>
      <w:r>
        <w:rPr>
          <w:rFonts w:hint="eastAsia" w:ascii="宋体" w:hAnsi="宋体" w:eastAsia="宋体" w:cs="宋体"/>
          <w:b/>
          <w:sz w:val="30"/>
          <w:szCs w:val="30"/>
          <w:lang w:val="en-US" w:eastAsia="zh-CN"/>
        </w:rPr>
        <w:t>2.4.5主要安全设备和设施</w:t>
      </w:r>
      <w:bookmarkEnd w:id="106"/>
      <w:bookmarkEnd w:id="107"/>
      <w:bookmarkEnd w:id="108"/>
      <w:bookmarkEnd w:id="109"/>
    </w:p>
    <w:p w14:paraId="07EF1F13">
      <w:pPr>
        <w:spacing w:line="360" w:lineRule="auto"/>
        <w:jc w:val="center"/>
        <w:rPr>
          <w:rFonts w:hint="eastAsia" w:ascii="宋体" w:hAnsi="宋体"/>
          <w:color w:val="000000"/>
          <w:sz w:val="28"/>
          <w:szCs w:val="28"/>
        </w:rPr>
      </w:pPr>
      <w:r>
        <w:rPr>
          <w:rFonts w:hint="eastAsia" w:ascii="宋体" w:hAnsi="宋体"/>
          <w:color w:val="000000"/>
          <w:sz w:val="28"/>
          <w:szCs w:val="28"/>
        </w:rPr>
        <w:t>表2-</w:t>
      </w:r>
      <w:r>
        <w:rPr>
          <w:rFonts w:hint="eastAsia" w:ascii="宋体" w:hAnsi="宋体"/>
          <w:color w:val="000000"/>
          <w:sz w:val="28"/>
          <w:szCs w:val="28"/>
          <w:lang w:val="en-US" w:eastAsia="zh-CN"/>
        </w:rPr>
        <w:t>4</w:t>
      </w:r>
      <w:r>
        <w:rPr>
          <w:rFonts w:hint="eastAsia" w:ascii="宋体" w:hAnsi="宋体"/>
          <w:color w:val="000000"/>
          <w:sz w:val="28"/>
          <w:szCs w:val="28"/>
        </w:rPr>
        <w:t>加油站主要设备一览表</w:t>
      </w:r>
    </w:p>
    <w:tbl>
      <w:tblPr>
        <w:tblStyle w:val="16"/>
        <w:tblW w:w="926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432"/>
        <w:gridCol w:w="1359"/>
        <w:gridCol w:w="2241"/>
        <w:gridCol w:w="1230"/>
        <w:gridCol w:w="1249"/>
        <w:gridCol w:w="950"/>
        <w:gridCol w:w="1803"/>
      </w:tblGrid>
      <w:tr w14:paraId="176303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58" w:hRule="exact"/>
          <w:jc w:val="center"/>
        </w:trPr>
        <w:tc>
          <w:tcPr>
            <w:tcW w:w="432" w:type="dxa"/>
            <w:shd w:val="clear" w:color="auto" w:fill="FFFFFF"/>
            <w:noWrap w:val="0"/>
            <w:vAlign w:val="center"/>
          </w:tcPr>
          <w:p w14:paraId="72BBE165">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rPr>
            </w:pPr>
            <w:r>
              <w:rPr>
                <w:rFonts w:hint="eastAsia" w:ascii="宋体" w:hAnsi="宋体" w:cs="宋体"/>
                <w:color w:val="000000"/>
                <w:szCs w:val="21"/>
              </w:rPr>
              <w:t>序 号</w:t>
            </w:r>
          </w:p>
        </w:tc>
        <w:tc>
          <w:tcPr>
            <w:tcW w:w="1359" w:type="dxa"/>
            <w:tcBorders>
              <w:left w:val="single" w:color="auto" w:sz="4" w:space="0"/>
            </w:tcBorders>
            <w:shd w:val="clear" w:color="auto" w:fill="FFFFFF"/>
            <w:noWrap w:val="0"/>
            <w:vAlign w:val="center"/>
          </w:tcPr>
          <w:p w14:paraId="193FA0D6">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rPr>
            </w:pPr>
            <w:r>
              <w:rPr>
                <w:rFonts w:hint="eastAsia" w:ascii="宋体" w:hAnsi="宋体" w:cs="宋体"/>
                <w:color w:val="000000"/>
                <w:szCs w:val="21"/>
              </w:rPr>
              <w:t>设备名称</w:t>
            </w:r>
          </w:p>
        </w:tc>
        <w:tc>
          <w:tcPr>
            <w:tcW w:w="2241" w:type="dxa"/>
            <w:tcBorders>
              <w:left w:val="single" w:color="auto" w:sz="4" w:space="0"/>
            </w:tcBorders>
            <w:shd w:val="clear" w:color="auto" w:fill="FFFFFF"/>
            <w:noWrap w:val="0"/>
            <w:vAlign w:val="center"/>
          </w:tcPr>
          <w:p w14:paraId="5E99FC75">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rPr>
            </w:pPr>
            <w:r>
              <w:rPr>
                <w:rFonts w:hint="eastAsia" w:ascii="宋体" w:hAnsi="宋体" w:cs="宋体"/>
                <w:color w:val="000000"/>
                <w:szCs w:val="21"/>
              </w:rPr>
              <w:t>规格型号</w:t>
            </w:r>
          </w:p>
        </w:tc>
        <w:tc>
          <w:tcPr>
            <w:tcW w:w="1230" w:type="dxa"/>
            <w:tcBorders>
              <w:left w:val="single" w:color="auto" w:sz="4" w:space="0"/>
            </w:tcBorders>
            <w:shd w:val="clear" w:color="auto" w:fill="FFFFFF"/>
            <w:noWrap w:val="0"/>
            <w:vAlign w:val="center"/>
          </w:tcPr>
          <w:p w14:paraId="108972AE">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lang w:eastAsia="zh-CN"/>
              </w:rPr>
            </w:pPr>
            <w:r>
              <w:rPr>
                <w:rFonts w:hint="eastAsia" w:ascii="宋体" w:hAnsi="宋体" w:cs="宋体"/>
                <w:color w:val="000000"/>
                <w:szCs w:val="21"/>
                <w:lang w:val="en-US" w:eastAsia="zh-CN"/>
              </w:rPr>
              <w:t>单位</w:t>
            </w:r>
          </w:p>
        </w:tc>
        <w:tc>
          <w:tcPr>
            <w:tcW w:w="1249" w:type="dxa"/>
            <w:tcBorders>
              <w:left w:val="single" w:color="auto" w:sz="4" w:space="0"/>
            </w:tcBorders>
            <w:shd w:val="clear" w:color="auto" w:fill="FFFFFF"/>
            <w:noWrap w:val="0"/>
            <w:vAlign w:val="center"/>
          </w:tcPr>
          <w:p w14:paraId="53AEF121">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lang w:eastAsia="zh-CN"/>
              </w:rPr>
            </w:pPr>
            <w:r>
              <w:rPr>
                <w:rFonts w:hint="eastAsia" w:ascii="宋体" w:hAnsi="宋体" w:cs="宋体"/>
                <w:color w:val="000000"/>
                <w:szCs w:val="21"/>
                <w:lang w:val="en-US" w:eastAsia="zh-CN"/>
              </w:rPr>
              <w:t>数量</w:t>
            </w:r>
          </w:p>
        </w:tc>
        <w:tc>
          <w:tcPr>
            <w:tcW w:w="950" w:type="dxa"/>
            <w:tcBorders>
              <w:left w:val="single" w:color="auto" w:sz="4" w:space="0"/>
            </w:tcBorders>
            <w:shd w:val="clear" w:color="auto" w:fill="FFFFFF"/>
            <w:noWrap w:val="0"/>
            <w:vAlign w:val="center"/>
          </w:tcPr>
          <w:p w14:paraId="2A5A58FA">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lang w:eastAsia="zh-CN"/>
              </w:rPr>
            </w:pPr>
            <w:r>
              <w:rPr>
                <w:rFonts w:hint="eastAsia" w:ascii="宋体" w:hAnsi="宋体" w:cs="宋体"/>
                <w:color w:val="000000"/>
                <w:szCs w:val="21"/>
                <w:lang w:val="en-US" w:eastAsia="zh-CN"/>
              </w:rPr>
              <w:t>材质</w:t>
            </w:r>
          </w:p>
        </w:tc>
        <w:tc>
          <w:tcPr>
            <w:tcW w:w="1803" w:type="dxa"/>
            <w:tcBorders>
              <w:left w:val="single" w:color="auto" w:sz="4" w:space="0"/>
            </w:tcBorders>
            <w:shd w:val="clear" w:color="auto" w:fill="FFFFFF"/>
            <w:noWrap w:val="0"/>
            <w:vAlign w:val="center"/>
          </w:tcPr>
          <w:p w14:paraId="70ADF781">
            <w:pPr>
              <w:pStyle w:val="4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cs="宋体"/>
                <w:color w:val="000000"/>
                <w:szCs w:val="21"/>
              </w:rPr>
            </w:pPr>
            <w:r>
              <w:rPr>
                <w:rFonts w:hint="eastAsia" w:ascii="宋体" w:hAnsi="宋体" w:cs="宋体"/>
                <w:color w:val="000000"/>
                <w:szCs w:val="21"/>
              </w:rPr>
              <w:t>备注</w:t>
            </w:r>
          </w:p>
        </w:tc>
      </w:tr>
      <w:tr w14:paraId="10B33E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540" w:hRule="exact"/>
          <w:jc w:val="center"/>
        </w:trPr>
        <w:tc>
          <w:tcPr>
            <w:tcW w:w="432" w:type="dxa"/>
            <w:tcBorders>
              <w:top w:val="single" w:color="auto" w:sz="4" w:space="0"/>
            </w:tcBorders>
            <w:shd w:val="clear" w:color="auto" w:fill="FFFFFF"/>
            <w:noWrap w:val="0"/>
            <w:vAlign w:val="center"/>
          </w:tcPr>
          <w:p w14:paraId="196B8173">
            <w:pPr>
              <w:pStyle w:val="43"/>
              <w:spacing w:line="360" w:lineRule="auto"/>
              <w:jc w:val="center"/>
              <w:rPr>
                <w:rFonts w:hint="eastAsia" w:ascii="宋体" w:hAnsi="宋体" w:cs="宋体"/>
                <w:color w:val="000000"/>
                <w:szCs w:val="21"/>
              </w:rPr>
            </w:pPr>
            <w:r>
              <w:rPr>
                <w:rFonts w:hint="eastAsia" w:ascii="宋体" w:hAnsi="宋体" w:cs="宋体"/>
                <w:color w:val="000000"/>
                <w:szCs w:val="21"/>
              </w:rPr>
              <w:t>1</w:t>
            </w:r>
          </w:p>
        </w:tc>
        <w:tc>
          <w:tcPr>
            <w:tcW w:w="1359" w:type="dxa"/>
            <w:tcBorders>
              <w:top w:val="single" w:color="auto" w:sz="4" w:space="0"/>
              <w:left w:val="single" w:color="auto" w:sz="4" w:space="0"/>
            </w:tcBorders>
            <w:shd w:val="clear" w:color="auto" w:fill="FFFFFF"/>
            <w:noWrap w:val="0"/>
            <w:vAlign w:val="center"/>
          </w:tcPr>
          <w:p w14:paraId="3A01CDFB">
            <w:pPr>
              <w:pStyle w:val="43"/>
              <w:spacing w:line="360" w:lineRule="auto"/>
              <w:jc w:val="center"/>
              <w:rPr>
                <w:rFonts w:hint="eastAsia" w:ascii="宋体" w:hAnsi="宋体" w:cs="宋体"/>
                <w:color w:val="000000"/>
                <w:szCs w:val="21"/>
              </w:rPr>
            </w:pPr>
            <w:r>
              <w:rPr>
                <w:rFonts w:hint="eastAsia" w:ascii="宋体" w:hAnsi="宋体" w:cs="宋体"/>
                <w:color w:val="000000"/>
                <w:szCs w:val="21"/>
                <w:lang w:val="en-US" w:eastAsia="zh-CN"/>
              </w:rPr>
              <w:t>0</w:t>
            </w:r>
            <w:r>
              <w:rPr>
                <w:rFonts w:hint="eastAsia" w:ascii="宋体" w:hAnsi="宋体" w:cs="宋体"/>
                <w:color w:val="000000"/>
                <w:szCs w:val="21"/>
              </w:rPr>
              <w:t>#</w:t>
            </w:r>
            <w:r>
              <w:rPr>
                <w:rFonts w:hint="eastAsia" w:ascii="宋体" w:hAnsi="宋体" w:cs="宋体"/>
                <w:color w:val="000000"/>
                <w:szCs w:val="21"/>
                <w:lang w:val="en-US" w:eastAsia="zh-CN"/>
              </w:rPr>
              <w:t>柴油</w:t>
            </w:r>
            <w:r>
              <w:rPr>
                <w:rFonts w:hint="eastAsia" w:ascii="宋体" w:hAnsi="宋体" w:cs="宋体"/>
                <w:color w:val="000000"/>
                <w:szCs w:val="21"/>
              </w:rPr>
              <w:t>储罐</w:t>
            </w:r>
          </w:p>
        </w:tc>
        <w:tc>
          <w:tcPr>
            <w:tcW w:w="2241" w:type="dxa"/>
            <w:tcBorders>
              <w:top w:val="single" w:color="auto" w:sz="4" w:space="0"/>
              <w:left w:val="single" w:color="auto" w:sz="4" w:space="0"/>
            </w:tcBorders>
            <w:shd w:val="clear" w:color="auto" w:fill="FFFFFF"/>
            <w:noWrap w:val="0"/>
            <w:vAlign w:val="center"/>
          </w:tcPr>
          <w:p w14:paraId="79176CA4">
            <w:pPr>
              <w:pStyle w:val="43"/>
              <w:spacing w:line="360" w:lineRule="auto"/>
              <w:jc w:val="center"/>
              <w:rPr>
                <w:rFonts w:ascii="宋体" w:hAnsi="宋体" w:cs="宋体"/>
                <w:color w:val="000000"/>
                <w:szCs w:val="21"/>
                <w:lang w:val="en-US" w:eastAsia="zh-CN"/>
              </w:rPr>
            </w:pPr>
            <w:r>
              <w:rPr>
                <w:rFonts w:hint="eastAsia" w:ascii="宋体" w:hAnsi="宋体" w:cs="宋体"/>
                <w:color w:val="000000"/>
                <w:szCs w:val="21"/>
                <w:lang w:val="en-US" w:eastAsia="zh-CN"/>
              </w:rPr>
              <w:t>V=50³</w:t>
            </w:r>
          </w:p>
        </w:tc>
        <w:tc>
          <w:tcPr>
            <w:tcW w:w="1230" w:type="dxa"/>
            <w:tcBorders>
              <w:top w:val="single" w:color="auto" w:sz="4" w:space="0"/>
              <w:left w:val="single" w:color="auto" w:sz="4" w:space="0"/>
            </w:tcBorders>
            <w:shd w:val="clear" w:color="auto" w:fill="FFFFFF"/>
            <w:noWrap w:val="0"/>
            <w:vAlign w:val="center"/>
          </w:tcPr>
          <w:p w14:paraId="2716E58D">
            <w:pPr>
              <w:pStyle w:val="43"/>
              <w:spacing w:line="360" w:lineRule="auto"/>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个</w:t>
            </w:r>
          </w:p>
        </w:tc>
        <w:tc>
          <w:tcPr>
            <w:tcW w:w="1249" w:type="dxa"/>
            <w:tcBorders>
              <w:top w:val="single" w:color="auto" w:sz="4" w:space="0"/>
              <w:left w:val="single" w:color="auto" w:sz="4" w:space="0"/>
            </w:tcBorders>
            <w:shd w:val="clear" w:color="auto" w:fill="FFFFFF"/>
            <w:noWrap w:val="0"/>
            <w:vAlign w:val="center"/>
          </w:tcPr>
          <w:p w14:paraId="0E83E1D9">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2</w:t>
            </w:r>
          </w:p>
        </w:tc>
        <w:tc>
          <w:tcPr>
            <w:tcW w:w="950" w:type="dxa"/>
            <w:tcBorders>
              <w:top w:val="single" w:color="auto" w:sz="4" w:space="0"/>
              <w:left w:val="single" w:color="auto" w:sz="4" w:space="0"/>
            </w:tcBorders>
            <w:shd w:val="clear" w:color="auto" w:fill="FFFFFF"/>
            <w:noWrap w:val="0"/>
            <w:vAlign w:val="center"/>
          </w:tcPr>
          <w:p w14:paraId="42A89DF3">
            <w:pPr>
              <w:pStyle w:val="43"/>
              <w:spacing w:line="360" w:lineRule="auto"/>
              <w:ind w:firstLine="18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钢制</w:t>
            </w:r>
          </w:p>
        </w:tc>
        <w:tc>
          <w:tcPr>
            <w:tcW w:w="1803" w:type="dxa"/>
            <w:tcBorders>
              <w:top w:val="single" w:color="auto" w:sz="4" w:space="0"/>
              <w:left w:val="single" w:color="auto" w:sz="4" w:space="0"/>
            </w:tcBorders>
            <w:shd w:val="clear" w:color="auto" w:fill="FFFFFF"/>
            <w:noWrap w:val="0"/>
            <w:vAlign w:val="center"/>
          </w:tcPr>
          <w:p w14:paraId="29849DA5">
            <w:pPr>
              <w:pStyle w:val="43"/>
              <w:shd w:val="clear" w:color="auto" w:fill="auto"/>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SF双层卧式油罐</w:t>
            </w:r>
          </w:p>
        </w:tc>
      </w:tr>
      <w:tr w14:paraId="5854EB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14" w:hRule="exact"/>
          <w:jc w:val="center"/>
        </w:trPr>
        <w:tc>
          <w:tcPr>
            <w:tcW w:w="432" w:type="dxa"/>
            <w:tcBorders>
              <w:top w:val="single" w:color="auto" w:sz="4" w:space="0"/>
            </w:tcBorders>
            <w:shd w:val="clear" w:color="auto" w:fill="FFFFFF"/>
            <w:noWrap w:val="0"/>
            <w:vAlign w:val="center"/>
          </w:tcPr>
          <w:p w14:paraId="6A50AD11">
            <w:pPr>
              <w:pStyle w:val="43"/>
              <w:spacing w:line="360" w:lineRule="auto"/>
              <w:jc w:val="center"/>
              <w:rPr>
                <w:rFonts w:hint="eastAsia" w:ascii="宋体" w:hAnsi="宋体" w:cs="宋体"/>
                <w:color w:val="000000"/>
                <w:szCs w:val="21"/>
              </w:rPr>
            </w:pPr>
            <w:r>
              <w:rPr>
                <w:rFonts w:hint="eastAsia" w:ascii="宋体" w:hAnsi="宋体" w:cs="宋体"/>
                <w:color w:val="000000"/>
                <w:szCs w:val="21"/>
              </w:rPr>
              <w:t>2</w:t>
            </w:r>
          </w:p>
        </w:tc>
        <w:tc>
          <w:tcPr>
            <w:tcW w:w="1359" w:type="dxa"/>
            <w:tcBorders>
              <w:top w:val="single" w:color="auto" w:sz="4" w:space="0"/>
              <w:left w:val="single" w:color="auto" w:sz="4" w:space="0"/>
            </w:tcBorders>
            <w:shd w:val="clear" w:color="auto" w:fill="FFFFFF"/>
            <w:noWrap w:val="0"/>
            <w:vAlign w:val="center"/>
          </w:tcPr>
          <w:p w14:paraId="65DFF8FF">
            <w:pPr>
              <w:pStyle w:val="43"/>
              <w:spacing w:line="360" w:lineRule="auto"/>
              <w:jc w:val="center"/>
              <w:rPr>
                <w:rFonts w:hint="eastAsia" w:ascii="宋体" w:hAnsi="宋体" w:cs="宋体"/>
                <w:color w:val="000000"/>
                <w:szCs w:val="21"/>
              </w:rPr>
            </w:pPr>
            <w:r>
              <w:rPr>
                <w:rFonts w:hint="eastAsia" w:ascii="宋体" w:hAnsi="宋体" w:cs="宋体"/>
                <w:color w:val="000000"/>
                <w:szCs w:val="21"/>
              </w:rPr>
              <w:t>9</w:t>
            </w:r>
            <w:r>
              <w:rPr>
                <w:rFonts w:hint="eastAsia" w:ascii="宋体" w:hAnsi="宋体" w:cs="宋体"/>
                <w:color w:val="000000"/>
                <w:szCs w:val="21"/>
                <w:lang w:val="en-US" w:eastAsia="zh-CN"/>
              </w:rPr>
              <w:t>2</w:t>
            </w:r>
            <w:r>
              <w:rPr>
                <w:rFonts w:hint="eastAsia" w:ascii="宋体" w:hAnsi="宋体" w:cs="宋体"/>
                <w:color w:val="000000"/>
                <w:szCs w:val="21"/>
              </w:rPr>
              <w:t>#汽油储罐</w:t>
            </w:r>
          </w:p>
        </w:tc>
        <w:tc>
          <w:tcPr>
            <w:tcW w:w="2241" w:type="dxa"/>
            <w:tcBorders>
              <w:top w:val="single" w:color="auto" w:sz="4" w:space="0"/>
              <w:left w:val="single" w:color="auto" w:sz="4" w:space="0"/>
            </w:tcBorders>
            <w:shd w:val="clear" w:color="auto" w:fill="FFFFFF"/>
            <w:noWrap w:val="0"/>
            <w:vAlign w:val="center"/>
          </w:tcPr>
          <w:p w14:paraId="063F83EF">
            <w:pPr>
              <w:spacing w:line="360" w:lineRule="auto"/>
              <w:jc w:val="center"/>
              <w:rPr>
                <w:rFonts w:hint="eastAsia" w:ascii="宋体" w:hAnsi="宋体" w:cs="宋体"/>
                <w:color w:val="000000"/>
                <w:szCs w:val="21"/>
              </w:rPr>
            </w:pPr>
            <w:r>
              <w:rPr>
                <w:rFonts w:hint="eastAsia" w:ascii="宋体" w:hAnsi="宋体" w:cs="宋体"/>
                <w:color w:val="000000"/>
                <w:szCs w:val="21"/>
              </w:rPr>
              <w:t>V=</w:t>
            </w:r>
            <w:r>
              <w:rPr>
                <w:rFonts w:hint="eastAsia" w:ascii="宋体" w:hAnsi="宋体" w:cs="宋体"/>
                <w:color w:val="000000"/>
                <w:szCs w:val="21"/>
                <w:lang w:val="en-US" w:eastAsia="zh-CN"/>
              </w:rPr>
              <w:t>5</w:t>
            </w:r>
            <w:r>
              <w:rPr>
                <w:rFonts w:hint="eastAsia" w:ascii="宋体" w:hAnsi="宋体" w:cs="宋体"/>
                <w:color w:val="000000"/>
                <w:szCs w:val="21"/>
              </w:rPr>
              <w:t>0³</w:t>
            </w:r>
          </w:p>
        </w:tc>
        <w:tc>
          <w:tcPr>
            <w:tcW w:w="1230" w:type="dxa"/>
            <w:tcBorders>
              <w:top w:val="single" w:color="auto" w:sz="4" w:space="0"/>
              <w:left w:val="single" w:color="auto" w:sz="4" w:space="0"/>
            </w:tcBorders>
            <w:shd w:val="clear" w:color="auto" w:fill="FFFFFF"/>
            <w:noWrap w:val="0"/>
            <w:vAlign w:val="center"/>
          </w:tcPr>
          <w:p w14:paraId="3D9EA213">
            <w:pPr>
              <w:spacing w:line="360" w:lineRule="auto"/>
              <w:jc w:val="center"/>
              <w:rPr>
                <w:rFonts w:hint="eastAsia" w:ascii="宋体" w:hAnsi="宋体" w:cs="宋体"/>
                <w:color w:val="000000"/>
                <w:szCs w:val="21"/>
              </w:rPr>
            </w:pPr>
            <w:r>
              <w:rPr>
                <w:rFonts w:hint="eastAsia" w:ascii="宋体" w:hAnsi="宋体" w:cs="宋体"/>
                <w:color w:val="000000"/>
                <w:szCs w:val="21"/>
              </w:rPr>
              <w:t>个</w:t>
            </w:r>
          </w:p>
        </w:tc>
        <w:tc>
          <w:tcPr>
            <w:tcW w:w="1249" w:type="dxa"/>
            <w:tcBorders>
              <w:top w:val="single" w:color="auto" w:sz="4" w:space="0"/>
              <w:left w:val="single" w:color="auto" w:sz="4" w:space="0"/>
            </w:tcBorders>
            <w:shd w:val="clear" w:color="auto" w:fill="FFFFFF"/>
            <w:noWrap w:val="0"/>
            <w:vAlign w:val="center"/>
          </w:tcPr>
          <w:p w14:paraId="338E03D1">
            <w:pPr>
              <w:pStyle w:val="43"/>
              <w:spacing w:line="360" w:lineRule="auto"/>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tcBorders>
            <w:shd w:val="clear" w:color="auto" w:fill="FFFFFF"/>
            <w:noWrap w:val="0"/>
            <w:vAlign w:val="center"/>
          </w:tcPr>
          <w:p w14:paraId="274BB7BC">
            <w:pPr>
              <w:spacing w:line="360" w:lineRule="auto"/>
              <w:ind w:firstLine="180"/>
              <w:jc w:val="left"/>
              <w:rPr>
                <w:rFonts w:hint="eastAsia" w:ascii="宋体" w:hAnsi="宋体" w:cs="宋体"/>
                <w:color w:val="000000"/>
                <w:szCs w:val="21"/>
              </w:rPr>
            </w:pPr>
            <w:r>
              <w:rPr>
                <w:rFonts w:hint="eastAsia" w:ascii="宋体" w:hAnsi="宋体" w:cs="宋体"/>
                <w:color w:val="000000"/>
                <w:szCs w:val="21"/>
              </w:rPr>
              <w:t>钢制</w:t>
            </w:r>
          </w:p>
        </w:tc>
        <w:tc>
          <w:tcPr>
            <w:tcW w:w="1803" w:type="dxa"/>
            <w:tcBorders>
              <w:top w:val="single" w:color="auto" w:sz="4" w:space="0"/>
              <w:left w:val="single" w:color="auto" w:sz="4" w:space="0"/>
            </w:tcBorders>
            <w:shd w:val="clear" w:color="auto" w:fill="FFFFFF"/>
            <w:noWrap w:val="0"/>
            <w:vAlign w:val="center"/>
          </w:tcPr>
          <w:p w14:paraId="71957B7D">
            <w:pPr>
              <w:spacing w:line="360" w:lineRule="auto"/>
              <w:jc w:val="center"/>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kern w:val="2"/>
                <w:sz w:val="21"/>
                <w:szCs w:val="21"/>
                <w:u w:val="none"/>
                <w:shd w:val="clear" w:color="auto" w:fill="auto"/>
                <w:lang w:val="en-US" w:eastAsia="zh-CN" w:bidi="zh-TW"/>
              </w:rPr>
              <w:t>SF双层卧式油罐</w:t>
            </w:r>
          </w:p>
        </w:tc>
      </w:tr>
      <w:tr w14:paraId="6B397F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01A52853">
            <w:pPr>
              <w:pStyle w:val="43"/>
              <w:spacing w:line="360" w:lineRule="auto"/>
              <w:jc w:val="center"/>
              <w:rPr>
                <w:rFonts w:hint="eastAsia" w:ascii="宋体" w:hAnsi="宋体" w:cs="宋体"/>
                <w:color w:val="000000"/>
                <w:szCs w:val="21"/>
                <w:lang w:eastAsia="zh-CN"/>
              </w:rPr>
            </w:pPr>
            <w:r>
              <w:rPr>
                <w:rFonts w:hint="eastAsia" w:ascii="宋体" w:hAnsi="宋体" w:cs="宋体"/>
                <w:color w:val="000000"/>
                <w:szCs w:val="21"/>
                <w:lang w:val="en-US" w:eastAsia="zh-CN"/>
              </w:rPr>
              <w:t>3</w:t>
            </w:r>
          </w:p>
        </w:tc>
        <w:tc>
          <w:tcPr>
            <w:tcW w:w="1359" w:type="dxa"/>
            <w:tcBorders>
              <w:top w:val="single" w:color="auto" w:sz="4" w:space="0"/>
              <w:left w:val="single" w:color="auto" w:sz="4" w:space="0"/>
              <w:bottom w:val="single" w:color="auto" w:sz="4" w:space="0"/>
            </w:tcBorders>
            <w:shd w:val="clear" w:color="auto" w:fill="FFFFFF"/>
            <w:noWrap w:val="0"/>
            <w:vAlign w:val="center"/>
          </w:tcPr>
          <w:p w14:paraId="744FFA01">
            <w:pPr>
              <w:pStyle w:val="43"/>
              <w:spacing w:line="360" w:lineRule="auto"/>
              <w:jc w:val="center"/>
              <w:rPr>
                <w:rFonts w:hint="eastAsia" w:ascii="宋体" w:hAnsi="宋体" w:cs="宋体"/>
                <w:color w:val="000000"/>
                <w:szCs w:val="21"/>
              </w:rPr>
            </w:pPr>
            <w:r>
              <w:rPr>
                <w:rFonts w:hint="eastAsia" w:ascii="宋体" w:hAnsi="宋体" w:cs="宋体"/>
                <w:color w:val="000000"/>
                <w:szCs w:val="21"/>
                <w:lang w:val="en-US" w:eastAsia="zh-CN"/>
              </w:rPr>
              <w:t>95</w:t>
            </w:r>
            <w:r>
              <w:rPr>
                <w:rFonts w:hint="eastAsia" w:ascii="宋体" w:hAnsi="宋体" w:cs="宋体"/>
                <w:color w:val="000000"/>
                <w:szCs w:val="21"/>
              </w:rPr>
              <w:t>#柴油储罐</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6161FF1">
            <w:pPr>
              <w:spacing w:line="360" w:lineRule="auto"/>
              <w:jc w:val="center"/>
              <w:rPr>
                <w:rFonts w:hint="eastAsia" w:ascii="宋体" w:hAnsi="宋体" w:cs="宋体"/>
                <w:color w:val="000000"/>
                <w:szCs w:val="21"/>
              </w:rPr>
            </w:pPr>
            <w:r>
              <w:rPr>
                <w:rFonts w:hint="eastAsia" w:ascii="宋体" w:hAnsi="宋体" w:cs="宋体"/>
                <w:color w:val="000000"/>
                <w:szCs w:val="21"/>
              </w:rPr>
              <w:t>V=</w:t>
            </w:r>
            <w:r>
              <w:rPr>
                <w:rFonts w:hint="eastAsia" w:ascii="宋体" w:hAnsi="宋体" w:cs="宋体"/>
                <w:color w:val="000000"/>
                <w:szCs w:val="21"/>
                <w:lang w:val="en-US" w:eastAsia="zh-CN"/>
              </w:rPr>
              <w:t>5</w:t>
            </w:r>
            <w:r>
              <w:rPr>
                <w:rFonts w:hint="eastAsia" w:ascii="宋体" w:hAnsi="宋体" w:cs="宋体"/>
                <w:color w:val="000000"/>
                <w:szCs w:val="21"/>
              </w:rPr>
              <w:t>0³</w:t>
            </w:r>
          </w:p>
        </w:tc>
        <w:tc>
          <w:tcPr>
            <w:tcW w:w="1230" w:type="dxa"/>
            <w:tcBorders>
              <w:top w:val="single" w:color="auto" w:sz="4" w:space="0"/>
              <w:left w:val="single" w:color="auto" w:sz="4" w:space="0"/>
              <w:bottom w:val="single" w:color="auto" w:sz="4" w:space="0"/>
            </w:tcBorders>
            <w:shd w:val="clear" w:color="auto" w:fill="FFFFFF"/>
            <w:noWrap w:val="0"/>
            <w:vAlign w:val="center"/>
          </w:tcPr>
          <w:p w14:paraId="6772DC31">
            <w:pPr>
              <w:spacing w:line="360" w:lineRule="auto"/>
              <w:jc w:val="center"/>
              <w:rPr>
                <w:rFonts w:hint="eastAsia" w:ascii="宋体" w:hAnsi="宋体" w:cs="宋体"/>
                <w:color w:val="000000"/>
                <w:szCs w:val="21"/>
              </w:rPr>
            </w:pPr>
            <w:r>
              <w:rPr>
                <w:rFonts w:hint="eastAsia" w:ascii="宋体" w:hAnsi="宋体" w:cs="宋体"/>
                <w:color w:val="000000"/>
                <w:szCs w:val="21"/>
              </w:rPr>
              <w:t>个</w:t>
            </w:r>
          </w:p>
        </w:tc>
        <w:tc>
          <w:tcPr>
            <w:tcW w:w="1249" w:type="dxa"/>
            <w:tcBorders>
              <w:top w:val="single" w:color="auto" w:sz="4" w:space="0"/>
              <w:left w:val="single" w:color="auto" w:sz="4" w:space="0"/>
              <w:bottom w:val="single" w:color="auto" w:sz="4" w:space="0"/>
            </w:tcBorders>
            <w:shd w:val="clear" w:color="auto" w:fill="FFFFFF"/>
            <w:noWrap w:val="0"/>
            <w:vAlign w:val="center"/>
          </w:tcPr>
          <w:p w14:paraId="158F08FE">
            <w:pPr>
              <w:pStyle w:val="43"/>
              <w:spacing w:line="360" w:lineRule="auto"/>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bottom w:val="single" w:color="auto" w:sz="4" w:space="0"/>
            </w:tcBorders>
            <w:shd w:val="clear" w:color="auto" w:fill="FFFFFF"/>
            <w:noWrap w:val="0"/>
            <w:vAlign w:val="center"/>
          </w:tcPr>
          <w:p w14:paraId="4A8BBCA4">
            <w:pPr>
              <w:spacing w:line="360" w:lineRule="auto"/>
              <w:ind w:firstLine="180"/>
              <w:jc w:val="left"/>
              <w:rPr>
                <w:rFonts w:hint="eastAsia" w:ascii="宋体" w:hAnsi="宋体" w:cs="宋体"/>
                <w:color w:val="000000"/>
                <w:szCs w:val="21"/>
              </w:rPr>
            </w:pPr>
            <w:r>
              <w:rPr>
                <w:rFonts w:hint="eastAsia" w:ascii="宋体" w:hAnsi="宋体" w:cs="宋体"/>
                <w:color w:val="000000"/>
                <w:szCs w:val="21"/>
              </w:rPr>
              <w:t>钢制</w:t>
            </w:r>
          </w:p>
        </w:tc>
        <w:tc>
          <w:tcPr>
            <w:tcW w:w="1803" w:type="dxa"/>
            <w:tcBorders>
              <w:top w:val="single" w:color="auto" w:sz="4" w:space="0"/>
              <w:left w:val="single" w:color="auto" w:sz="4" w:space="0"/>
              <w:bottom w:val="single" w:color="auto" w:sz="4" w:space="0"/>
            </w:tcBorders>
            <w:shd w:val="clear" w:color="auto" w:fill="FFFFFF"/>
            <w:noWrap w:val="0"/>
            <w:vAlign w:val="center"/>
          </w:tcPr>
          <w:p w14:paraId="648317F5">
            <w:pPr>
              <w:spacing w:line="360" w:lineRule="auto"/>
              <w:jc w:val="center"/>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kern w:val="2"/>
                <w:sz w:val="21"/>
                <w:szCs w:val="21"/>
                <w:u w:val="none"/>
                <w:shd w:val="clear" w:color="auto" w:fill="auto"/>
                <w:lang w:val="en-US" w:eastAsia="zh-CN" w:bidi="zh-TW"/>
              </w:rPr>
              <w:t>SF双层卧式油罐</w:t>
            </w:r>
          </w:p>
        </w:tc>
      </w:tr>
      <w:tr w14:paraId="2E5C33F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5EB04D63">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4</w:t>
            </w:r>
          </w:p>
        </w:tc>
        <w:tc>
          <w:tcPr>
            <w:tcW w:w="1359" w:type="dxa"/>
            <w:tcBorders>
              <w:top w:val="single" w:color="auto" w:sz="4" w:space="0"/>
              <w:left w:val="single" w:color="auto" w:sz="4" w:space="0"/>
              <w:bottom w:val="single" w:color="auto" w:sz="4" w:space="0"/>
            </w:tcBorders>
            <w:shd w:val="clear" w:color="auto" w:fill="FFFFFF"/>
            <w:noWrap w:val="0"/>
            <w:vAlign w:val="center"/>
          </w:tcPr>
          <w:p w14:paraId="57344FAB">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柴油加油枪</w:t>
            </w:r>
          </w:p>
        </w:tc>
        <w:tc>
          <w:tcPr>
            <w:tcW w:w="2241" w:type="dxa"/>
            <w:tcBorders>
              <w:top w:val="single" w:color="auto" w:sz="4" w:space="0"/>
              <w:left w:val="single" w:color="auto" w:sz="4" w:space="0"/>
              <w:bottom w:val="single" w:color="auto" w:sz="4" w:space="0"/>
            </w:tcBorders>
            <w:shd w:val="clear" w:color="auto" w:fill="FFFFFF"/>
            <w:noWrap w:val="0"/>
            <w:vAlign w:val="center"/>
          </w:tcPr>
          <w:p w14:paraId="0CF3A450">
            <w:pPr>
              <w:spacing w:line="36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5-50L/min</w:t>
            </w:r>
          </w:p>
        </w:tc>
        <w:tc>
          <w:tcPr>
            <w:tcW w:w="1230" w:type="dxa"/>
            <w:tcBorders>
              <w:top w:val="single" w:color="auto" w:sz="4" w:space="0"/>
              <w:left w:val="single" w:color="auto" w:sz="4" w:space="0"/>
              <w:bottom w:val="single" w:color="auto" w:sz="4" w:space="0"/>
            </w:tcBorders>
            <w:shd w:val="clear" w:color="auto" w:fill="FFFFFF"/>
            <w:noWrap w:val="0"/>
            <w:vAlign w:val="center"/>
          </w:tcPr>
          <w:p w14:paraId="0C44D6B4">
            <w:pPr>
              <w:spacing w:line="36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支</w:t>
            </w:r>
          </w:p>
        </w:tc>
        <w:tc>
          <w:tcPr>
            <w:tcW w:w="1249" w:type="dxa"/>
            <w:tcBorders>
              <w:top w:val="single" w:color="auto" w:sz="4" w:space="0"/>
              <w:left w:val="single" w:color="auto" w:sz="4" w:space="0"/>
              <w:bottom w:val="single" w:color="auto" w:sz="4" w:space="0"/>
            </w:tcBorders>
            <w:shd w:val="clear" w:color="auto" w:fill="FFFFFF"/>
            <w:noWrap w:val="0"/>
            <w:vAlign w:val="center"/>
          </w:tcPr>
          <w:p w14:paraId="1D3CE17B">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w:t>
            </w:r>
          </w:p>
        </w:tc>
        <w:tc>
          <w:tcPr>
            <w:tcW w:w="950" w:type="dxa"/>
            <w:tcBorders>
              <w:top w:val="single" w:color="auto" w:sz="4" w:space="0"/>
              <w:left w:val="single" w:color="auto" w:sz="4" w:space="0"/>
              <w:bottom w:val="single" w:color="auto" w:sz="4" w:space="0"/>
            </w:tcBorders>
            <w:shd w:val="clear" w:color="auto" w:fill="FFFFFF"/>
            <w:noWrap w:val="0"/>
            <w:vAlign w:val="center"/>
          </w:tcPr>
          <w:p w14:paraId="4A290AF2">
            <w:pPr>
              <w:spacing w:line="360" w:lineRule="auto"/>
              <w:ind w:firstLine="180"/>
              <w:jc w:val="left"/>
              <w:rPr>
                <w:rFonts w:hint="eastAsia" w:ascii="宋体" w:hAnsi="宋体" w:cs="宋体"/>
                <w:color w:val="000000"/>
                <w:szCs w:val="21"/>
              </w:rPr>
            </w:pPr>
            <w:r>
              <w:rPr>
                <w:rFonts w:hint="eastAsia" w:ascii="宋体" w:hAnsi="宋体" w:cs="宋体"/>
                <w:color w:val="000000"/>
                <w:szCs w:val="21"/>
                <w:lang w:val="en-US" w:eastAsia="zh-CN"/>
              </w:rPr>
              <w:t>铝制</w:t>
            </w:r>
          </w:p>
        </w:tc>
        <w:tc>
          <w:tcPr>
            <w:tcW w:w="1803" w:type="dxa"/>
            <w:tcBorders>
              <w:top w:val="single" w:color="auto" w:sz="4" w:space="0"/>
              <w:left w:val="single" w:color="auto" w:sz="4" w:space="0"/>
              <w:bottom w:val="single" w:color="auto" w:sz="4" w:space="0"/>
            </w:tcBorders>
            <w:shd w:val="clear" w:color="auto" w:fill="FFFFFF"/>
            <w:noWrap w:val="0"/>
            <w:vAlign w:val="center"/>
          </w:tcPr>
          <w:p w14:paraId="415FC3F4">
            <w:pPr>
              <w:spacing w:line="360" w:lineRule="auto"/>
              <w:jc w:val="center"/>
              <w:rPr>
                <w:rFonts w:hint="default" w:ascii="宋体" w:hAnsi="宋体" w:eastAsia="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168BA5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3874F54F">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5</w:t>
            </w:r>
          </w:p>
        </w:tc>
        <w:tc>
          <w:tcPr>
            <w:tcW w:w="1359" w:type="dxa"/>
            <w:tcBorders>
              <w:top w:val="single" w:color="auto" w:sz="4" w:space="0"/>
              <w:left w:val="single" w:color="auto" w:sz="4" w:space="0"/>
              <w:bottom w:val="single" w:color="auto" w:sz="4" w:space="0"/>
            </w:tcBorders>
            <w:shd w:val="clear" w:color="auto" w:fill="FFFFFF"/>
            <w:noWrap w:val="0"/>
            <w:vAlign w:val="center"/>
          </w:tcPr>
          <w:p w14:paraId="3A7ABE83">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汽油加油枪</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AEE9686">
            <w:pPr>
              <w:spacing w:line="360" w:lineRule="auto"/>
              <w:jc w:val="center"/>
              <w:rPr>
                <w:rFonts w:hint="eastAsia" w:ascii="宋体" w:hAnsi="宋体" w:cs="宋体"/>
                <w:color w:val="000000"/>
                <w:szCs w:val="21"/>
              </w:rPr>
            </w:pPr>
            <w:r>
              <w:rPr>
                <w:rFonts w:hint="eastAsia" w:ascii="宋体" w:hAnsi="宋体" w:cs="宋体"/>
                <w:color w:val="000000"/>
                <w:szCs w:val="21"/>
                <w:lang w:val="en-US" w:eastAsia="zh-CN"/>
              </w:rPr>
              <w:t>5-50L/min</w:t>
            </w:r>
          </w:p>
        </w:tc>
        <w:tc>
          <w:tcPr>
            <w:tcW w:w="1230" w:type="dxa"/>
            <w:tcBorders>
              <w:top w:val="single" w:color="auto" w:sz="4" w:space="0"/>
              <w:left w:val="single" w:color="auto" w:sz="4" w:space="0"/>
              <w:bottom w:val="single" w:color="auto" w:sz="4" w:space="0"/>
            </w:tcBorders>
            <w:shd w:val="clear" w:color="auto" w:fill="FFFFFF"/>
            <w:noWrap w:val="0"/>
            <w:vAlign w:val="center"/>
          </w:tcPr>
          <w:p w14:paraId="21AA8B42">
            <w:pPr>
              <w:spacing w:line="36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支</w:t>
            </w:r>
          </w:p>
        </w:tc>
        <w:tc>
          <w:tcPr>
            <w:tcW w:w="1249" w:type="dxa"/>
            <w:tcBorders>
              <w:top w:val="single" w:color="auto" w:sz="4" w:space="0"/>
              <w:left w:val="single" w:color="auto" w:sz="4" w:space="0"/>
              <w:bottom w:val="single" w:color="auto" w:sz="4" w:space="0"/>
            </w:tcBorders>
            <w:shd w:val="clear" w:color="auto" w:fill="FFFFFF"/>
            <w:noWrap w:val="0"/>
            <w:vAlign w:val="center"/>
          </w:tcPr>
          <w:p w14:paraId="6DCE5B62">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7</w:t>
            </w:r>
          </w:p>
        </w:tc>
        <w:tc>
          <w:tcPr>
            <w:tcW w:w="950" w:type="dxa"/>
            <w:tcBorders>
              <w:top w:val="single" w:color="auto" w:sz="4" w:space="0"/>
              <w:left w:val="single" w:color="auto" w:sz="4" w:space="0"/>
              <w:bottom w:val="single" w:color="auto" w:sz="4" w:space="0"/>
            </w:tcBorders>
            <w:shd w:val="clear" w:color="auto" w:fill="FFFFFF"/>
            <w:noWrap w:val="0"/>
            <w:vAlign w:val="center"/>
          </w:tcPr>
          <w:p w14:paraId="6BF02E04">
            <w:pPr>
              <w:spacing w:line="360" w:lineRule="auto"/>
              <w:ind w:firstLine="180"/>
              <w:jc w:val="left"/>
              <w:rPr>
                <w:rFonts w:hint="eastAsia" w:ascii="宋体" w:hAnsi="宋体" w:cs="宋体"/>
                <w:color w:val="000000"/>
                <w:szCs w:val="21"/>
              </w:rPr>
            </w:pPr>
            <w:r>
              <w:rPr>
                <w:rFonts w:hint="eastAsia" w:ascii="宋体" w:hAnsi="宋体" w:cs="宋体"/>
                <w:color w:val="000000"/>
                <w:szCs w:val="21"/>
                <w:lang w:val="en-US" w:eastAsia="zh-CN"/>
              </w:rPr>
              <w:t>铝制</w:t>
            </w:r>
          </w:p>
        </w:tc>
        <w:tc>
          <w:tcPr>
            <w:tcW w:w="1803" w:type="dxa"/>
            <w:tcBorders>
              <w:top w:val="single" w:color="auto" w:sz="4" w:space="0"/>
              <w:left w:val="single" w:color="auto" w:sz="4" w:space="0"/>
              <w:bottom w:val="single" w:color="auto" w:sz="4" w:space="0"/>
            </w:tcBorders>
            <w:shd w:val="clear" w:color="auto" w:fill="FFFFFF"/>
            <w:noWrap w:val="0"/>
            <w:vAlign w:val="center"/>
          </w:tcPr>
          <w:p w14:paraId="7FF8F8B3">
            <w:pPr>
              <w:spacing w:line="360" w:lineRule="auto"/>
              <w:jc w:val="center"/>
              <w:rPr>
                <w:rFonts w:hint="default" w:ascii="宋体" w:hAnsi="宋体" w:eastAsia="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061D39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22445AEC">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6</w:t>
            </w:r>
          </w:p>
        </w:tc>
        <w:tc>
          <w:tcPr>
            <w:tcW w:w="1359" w:type="dxa"/>
            <w:tcBorders>
              <w:top w:val="single" w:color="auto" w:sz="4" w:space="0"/>
              <w:left w:val="single" w:color="auto" w:sz="4" w:space="0"/>
              <w:bottom w:val="single" w:color="auto" w:sz="4" w:space="0"/>
            </w:tcBorders>
            <w:shd w:val="clear" w:color="auto" w:fill="FFFFFF"/>
            <w:noWrap w:val="0"/>
            <w:vAlign w:val="center"/>
          </w:tcPr>
          <w:p w14:paraId="432AB212">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配电箱</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2ADB250">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230" w:type="dxa"/>
            <w:tcBorders>
              <w:top w:val="single" w:color="auto" w:sz="4" w:space="0"/>
              <w:left w:val="single" w:color="auto" w:sz="4" w:space="0"/>
              <w:bottom w:val="single" w:color="auto" w:sz="4" w:space="0"/>
            </w:tcBorders>
            <w:shd w:val="clear" w:color="auto" w:fill="FFFFFF"/>
            <w:noWrap w:val="0"/>
            <w:vAlign w:val="center"/>
          </w:tcPr>
          <w:p w14:paraId="603FD896">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个</w:t>
            </w:r>
          </w:p>
        </w:tc>
        <w:tc>
          <w:tcPr>
            <w:tcW w:w="1249" w:type="dxa"/>
            <w:tcBorders>
              <w:top w:val="single" w:color="auto" w:sz="4" w:space="0"/>
              <w:left w:val="single" w:color="auto" w:sz="4" w:space="0"/>
              <w:bottom w:val="single" w:color="auto" w:sz="4" w:space="0"/>
            </w:tcBorders>
            <w:shd w:val="clear" w:color="auto" w:fill="FFFFFF"/>
            <w:noWrap w:val="0"/>
            <w:vAlign w:val="center"/>
          </w:tcPr>
          <w:p w14:paraId="3748131B">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bottom w:val="single" w:color="auto" w:sz="4" w:space="0"/>
            </w:tcBorders>
            <w:shd w:val="clear" w:color="auto" w:fill="FFFFFF"/>
            <w:noWrap w:val="0"/>
            <w:vAlign w:val="center"/>
          </w:tcPr>
          <w:p w14:paraId="2263995B">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bottom w:val="single" w:color="auto" w:sz="4" w:space="0"/>
            </w:tcBorders>
            <w:shd w:val="clear" w:color="auto" w:fill="FFFFFF"/>
            <w:noWrap w:val="0"/>
            <w:vAlign w:val="center"/>
          </w:tcPr>
          <w:p w14:paraId="18D347CF">
            <w:pPr>
              <w:spacing w:line="360" w:lineRule="auto"/>
              <w:jc w:val="center"/>
              <w:rPr>
                <w:rFonts w:hint="default" w:ascii="宋体" w:hAnsi="宋体" w:eastAsia="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2F28B2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079F75B2">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7</w:t>
            </w:r>
          </w:p>
        </w:tc>
        <w:tc>
          <w:tcPr>
            <w:tcW w:w="1359" w:type="dxa"/>
            <w:tcBorders>
              <w:top w:val="single" w:color="auto" w:sz="4" w:space="0"/>
              <w:left w:val="single" w:color="auto" w:sz="4" w:space="0"/>
              <w:bottom w:val="single" w:color="auto" w:sz="4" w:space="0"/>
            </w:tcBorders>
            <w:shd w:val="clear" w:color="auto" w:fill="FFFFFF"/>
            <w:noWrap w:val="0"/>
            <w:vAlign w:val="center"/>
          </w:tcPr>
          <w:p w14:paraId="0010B438">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潜油泵</w:t>
            </w:r>
          </w:p>
        </w:tc>
        <w:tc>
          <w:tcPr>
            <w:tcW w:w="2241" w:type="dxa"/>
            <w:tcBorders>
              <w:top w:val="single" w:color="auto" w:sz="4" w:space="0"/>
              <w:left w:val="single" w:color="auto" w:sz="4" w:space="0"/>
              <w:bottom w:val="single" w:color="auto" w:sz="4" w:space="0"/>
            </w:tcBorders>
            <w:shd w:val="clear" w:color="auto" w:fill="FFFFFF"/>
            <w:noWrap w:val="0"/>
            <w:vAlign w:val="center"/>
          </w:tcPr>
          <w:p w14:paraId="424EFA96">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230" w:type="dxa"/>
            <w:tcBorders>
              <w:top w:val="single" w:color="auto" w:sz="4" w:space="0"/>
              <w:left w:val="single" w:color="auto" w:sz="4" w:space="0"/>
              <w:bottom w:val="single" w:color="auto" w:sz="4" w:space="0"/>
            </w:tcBorders>
            <w:shd w:val="clear" w:color="auto" w:fill="FFFFFF"/>
            <w:noWrap w:val="0"/>
            <w:vAlign w:val="center"/>
          </w:tcPr>
          <w:p w14:paraId="3367C3A0">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台</w:t>
            </w:r>
          </w:p>
        </w:tc>
        <w:tc>
          <w:tcPr>
            <w:tcW w:w="1249" w:type="dxa"/>
            <w:tcBorders>
              <w:top w:val="single" w:color="auto" w:sz="4" w:space="0"/>
              <w:left w:val="single" w:color="auto" w:sz="4" w:space="0"/>
              <w:bottom w:val="single" w:color="auto" w:sz="4" w:space="0"/>
            </w:tcBorders>
            <w:shd w:val="clear" w:color="auto" w:fill="FFFFFF"/>
            <w:noWrap w:val="0"/>
            <w:vAlign w:val="center"/>
          </w:tcPr>
          <w:p w14:paraId="32B01B7C">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4</w:t>
            </w:r>
          </w:p>
        </w:tc>
        <w:tc>
          <w:tcPr>
            <w:tcW w:w="950" w:type="dxa"/>
            <w:tcBorders>
              <w:top w:val="single" w:color="auto" w:sz="4" w:space="0"/>
              <w:left w:val="single" w:color="auto" w:sz="4" w:space="0"/>
              <w:bottom w:val="single" w:color="auto" w:sz="4" w:space="0"/>
            </w:tcBorders>
            <w:shd w:val="clear" w:color="auto" w:fill="FFFFFF"/>
            <w:noWrap w:val="0"/>
            <w:vAlign w:val="center"/>
          </w:tcPr>
          <w:p w14:paraId="33232BEC">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bottom w:val="single" w:color="auto" w:sz="4" w:space="0"/>
            </w:tcBorders>
            <w:shd w:val="clear" w:color="auto" w:fill="FFFFFF"/>
            <w:noWrap w:val="0"/>
            <w:vAlign w:val="center"/>
          </w:tcPr>
          <w:p w14:paraId="52FBFA1A">
            <w:pPr>
              <w:spacing w:line="360" w:lineRule="auto"/>
              <w:jc w:val="center"/>
              <w:rPr>
                <w:rFonts w:hint="default" w:ascii="宋体" w:hAnsi="宋体" w:eastAsia="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366341C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607FAC31">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8</w:t>
            </w:r>
          </w:p>
        </w:tc>
        <w:tc>
          <w:tcPr>
            <w:tcW w:w="1359" w:type="dxa"/>
            <w:tcBorders>
              <w:top w:val="single" w:color="auto" w:sz="4" w:space="0"/>
              <w:left w:val="single" w:color="auto" w:sz="4" w:space="0"/>
              <w:bottom w:val="single" w:color="auto" w:sz="4" w:space="0"/>
            </w:tcBorders>
            <w:shd w:val="clear" w:color="auto" w:fill="FFFFFF"/>
            <w:noWrap w:val="0"/>
            <w:vAlign w:val="center"/>
          </w:tcPr>
          <w:p w14:paraId="1F6BF9F0">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静电接地仪</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1FCC8A8">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230" w:type="dxa"/>
            <w:tcBorders>
              <w:top w:val="single" w:color="auto" w:sz="4" w:space="0"/>
              <w:left w:val="single" w:color="auto" w:sz="4" w:space="0"/>
              <w:bottom w:val="single" w:color="auto" w:sz="4" w:space="0"/>
            </w:tcBorders>
            <w:shd w:val="clear" w:color="auto" w:fill="FFFFFF"/>
            <w:noWrap w:val="0"/>
            <w:vAlign w:val="center"/>
          </w:tcPr>
          <w:p w14:paraId="68DFACC8">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台</w:t>
            </w:r>
          </w:p>
        </w:tc>
        <w:tc>
          <w:tcPr>
            <w:tcW w:w="1249" w:type="dxa"/>
            <w:tcBorders>
              <w:top w:val="single" w:color="auto" w:sz="4" w:space="0"/>
              <w:left w:val="single" w:color="auto" w:sz="4" w:space="0"/>
              <w:bottom w:val="single" w:color="auto" w:sz="4" w:space="0"/>
            </w:tcBorders>
            <w:shd w:val="clear" w:color="auto" w:fill="FFFFFF"/>
            <w:noWrap w:val="0"/>
            <w:vAlign w:val="center"/>
          </w:tcPr>
          <w:p w14:paraId="51EF79E4">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bottom w:val="single" w:color="auto" w:sz="4" w:space="0"/>
            </w:tcBorders>
            <w:shd w:val="clear" w:color="auto" w:fill="FFFFFF"/>
            <w:noWrap w:val="0"/>
            <w:vAlign w:val="center"/>
          </w:tcPr>
          <w:p w14:paraId="00C8B08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bottom w:val="single" w:color="auto" w:sz="4" w:space="0"/>
            </w:tcBorders>
            <w:shd w:val="clear" w:color="auto" w:fill="FFFFFF"/>
            <w:noWrap w:val="0"/>
            <w:vAlign w:val="center"/>
          </w:tcPr>
          <w:p w14:paraId="12C6EE87">
            <w:pPr>
              <w:spacing w:line="360" w:lineRule="auto"/>
              <w:jc w:val="center"/>
              <w:rPr>
                <w:rFonts w:hint="default" w:ascii="宋体" w:hAnsi="宋体" w:eastAsia="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062FC2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1C635D86">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9</w:t>
            </w:r>
          </w:p>
        </w:tc>
        <w:tc>
          <w:tcPr>
            <w:tcW w:w="1359" w:type="dxa"/>
            <w:tcBorders>
              <w:top w:val="single" w:color="auto" w:sz="4" w:space="0"/>
              <w:left w:val="single" w:color="auto" w:sz="4" w:space="0"/>
              <w:bottom w:val="single" w:color="auto" w:sz="4" w:space="0"/>
            </w:tcBorders>
            <w:shd w:val="clear" w:color="auto" w:fill="FFFFFF"/>
            <w:noWrap w:val="0"/>
            <w:vAlign w:val="center"/>
          </w:tcPr>
          <w:p w14:paraId="7E7E77DE">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高液位报警系统</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1F50814">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w:t>
            </w:r>
          </w:p>
        </w:tc>
        <w:tc>
          <w:tcPr>
            <w:tcW w:w="1230" w:type="dxa"/>
            <w:tcBorders>
              <w:top w:val="single" w:color="auto" w:sz="4" w:space="0"/>
              <w:left w:val="single" w:color="auto" w:sz="4" w:space="0"/>
              <w:bottom w:val="single" w:color="auto" w:sz="4" w:space="0"/>
            </w:tcBorders>
            <w:shd w:val="clear" w:color="auto" w:fill="FFFFFF"/>
            <w:noWrap w:val="0"/>
            <w:vAlign w:val="center"/>
          </w:tcPr>
          <w:p w14:paraId="2C78B344">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台</w:t>
            </w:r>
          </w:p>
        </w:tc>
        <w:tc>
          <w:tcPr>
            <w:tcW w:w="1249" w:type="dxa"/>
            <w:tcBorders>
              <w:top w:val="single" w:color="auto" w:sz="4" w:space="0"/>
              <w:left w:val="single" w:color="auto" w:sz="4" w:space="0"/>
              <w:bottom w:val="single" w:color="auto" w:sz="4" w:space="0"/>
            </w:tcBorders>
            <w:shd w:val="clear" w:color="auto" w:fill="FFFFFF"/>
            <w:noWrap w:val="0"/>
            <w:vAlign w:val="center"/>
          </w:tcPr>
          <w:p w14:paraId="5BAA94D4">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bottom w:val="single" w:color="auto" w:sz="4" w:space="0"/>
            </w:tcBorders>
            <w:shd w:val="clear" w:color="auto" w:fill="FFFFFF"/>
            <w:noWrap w:val="0"/>
            <w:vAlign w:val="center"/>
          </w:tcPr>
          <w:p w14:paraId="246C56D6">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bottom w:val="single" w:color="auto" w:sz="4" w:space="0"/>
            </w:tcBorders>
            <w:shd w:val="clear" w:color="auto" w:fill="FFFFFF"/>
            <w:noWrap w:val="0"/>
            <w:vAlign w:val="center"/>
          </w:tcPr>
          <w:p w14:paraId="698F08D0">
            <w:pPr>
              <w:spacing w:line="360" w:lineRule="auto"/>
              <w:jc w:val="center"/>
              <w:rPr>
                <w:rFonts w:hint="default" w:ascii="宋体" w:hAnsi="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3D98D69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bottom w:val="single" w:color="auto" w:sz="4" w:space="0"/>
            </w:tcBorders>
            <w:shd w:val="clear" w:color="auto" w:fill="FFFFFF"/>
            <w:noWrap w:val="0"/>
            <w:vAlign w:val="center"/>
          </w:tcPr>
          <w:p w14:paraId="0FF8C42B">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10</w:t>
            </w:r>
          </w:p>
        </w:tc>
        <w:tc>
          <w:tcPr>
            <w:tcW w:w="1359" w:type="dxa"/>
            <w:tcBorders>
              <w:top w:val="single" w:color="auto" w:sz="4" w:space="0"/>
              <w:left w:val="single" w:color="auto" w:sz="4" w:space="0"/>
              <w:bottom w:val="single" w:color="auto" w:sz="4" w:space="0"/>
            </w:tcBorders>
            <w:shd w:val="clear" w:color="auto" w:fill="FFFFFF"/>
            <w:noWrap w:val="0"/>
            <w:vAlign w:val="center"/>
          </w:tcPr>
          <w:p w14:paraId="7C26FB12">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双层油罐测漏仪</w:t>
            </w:r>
          </w:p>
        </w:tc>
        <w:tc>
          <w:tcPr>
            <w:tcW w:w="2241" w:type="dxa"/>
            <w:tcBorders>
              <w:top w:val="single" w:color="auto" w:sz="4" w:space="0"/>
              <w:left w:val="single" w:color="auto" w:sz="4" w:space="0"/>
              <w:bottom w:val="single" w:color="auto" w:sz="4" w:space="0"/>
            </w:tcBorders>
            <w:shd w:val="clear" w:color="auto" w:fill="FFFFFF"/>
            <w:noWrap w:val="0"/>
            <w:vAlign w:val="center"/>
          </w:tcPr>
          <w:p w14:paraId="39DF2554">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w:t>
            </w:r>
          </w:p>
        </w:tc>
        <w:tc>
          <w:tcPr>
            <w:tcW w:w="1230" w:type="dxa"/>
            <w:tcBorders>
              <w:top w:val="single" w:color="auto" w:sz="4" w:space="0"/>
              <w:left w:val="single" w:color="auto" w:sz="4" w:space="0"/>
              <w:bottom w:val="single" w:color="auto" w:sz="4" w:space="0"/>
            </w:tcBorders>
            <w:shd w:val="clear" w:color="auto" w:fill="FFFFFF"/>
            <w:noWrap w:val="0"/>
            <w:vAlign w:val="center"/>
          </w:tcPr>
          <w:p w14:paraId="637DF2C7">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台</w:t>
            </w:r>
          </w:p>
        </w:tc>
        <w:tc>
          <w:tcPr>
            <w:tcW w:w="1249" w:type="dxa"/>
            <w:tcBorders>
              <w:top w:val="single" w:color="auto" w:sz="4" w:space="0"/>
              <w:left w:val="single" w:color="auto" w:sz="4" w:space="0"/>
              <w:bottom w:val="single" w:color="auto" w:sz="4" w:space="0"/>
            </w:tcBorders>
            <w:shd w:val="clear" w:color="auto" w:fill="FFFFFF"/>
            <w:noWrap w:val="0"/>
            <w:vAlign w:val="center"/>
          </w:tcPr>
          <w:p w14:paraId="465B34C4">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bottom w:val="single" w:color="auto" w:sz="4" w:space="0"/>
            </w:tcBorders>
            <w:shd w:val="clear" w:color="auto" w:fill="FFFFFF"/>
            <w:noWrap w:val="0"/>
            <w:vAlign w:val="center"/>
          </w:tcPr>
          <w:p w14:paraId="47B5587C">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bottom w:val="single" w:color="auto" w:sz="4" w:space="0"/>
            </w:tcBorders>
            <w:shd w:val="clear" w:color="auto" w:fill="FFFFFF"/>
            <w:noWrap w:val="0"/>
            <w:vAlign w:val="center"/>
          </w:tcPr>
          <w:p w14:paraId="05DB7B3E">
            <w:pPr>
              <w:spacing w:line="360" w:lineRule="auto"/>
              <w:jc w:val="center"/>
              <w:rPr>
                <w:rFonts w:hint="default" w:ascii="宋体" w:hAnsi="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r w14:paraId="0C0531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21" w:hRule="exact"/>
          <w:jc w:val="center"/>
        </w:trPr>
        <w:tc>
          <w:tcPr>
            <w:tcW w:w="432" w:type="dxa"/>
            <w:tcBorders>
              <w:top w:val="single" w:color="auto" w:sz="4" w:space="0"/>
            </w:tcBorders>
            <w:shd w:val="clear" w:color="auto" w:fill="FFFFFF"/>
            <w:noWrap w:val="0"/>
            <w:vAlign w:val="center"/>
          </w:tcPr>
          <w:p w14:paraId="1B095B67">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11</w:t>
            </w:r>
          </w:p>
        </w:tc>
        <w:tc>
          <w:tcPr>
            <w:tcW w:w="1359" w:type="dxa"/>
            <w:tcBorders>
              <w:top w:val="single" w:color="auto" w:sz="4" w:space="0"/>
              <w:left w:val="single" w:color="auto" w:sz="4" w:space="0"/>
            </w:tcBorders>
            <w:shd w:val="clear" w:color="auto" w:fill="FFFFFF"/>
            <w:noWrap w:val="0"/>
            <w:vAlign w:val="center"/>
          </w:tcPr>
          <w:p w14:paraId="2DB9288C">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柴油发电机</w:t>
            </w:r>
          </w:p>
        </w:tc>
        <w:tc>
          <w:tcPr>
            <w:tcW w:w="2241" w:type="dxa"/>
            <w:tcBorders>
              <w:top w:val="single" w:color="auto" w:sz="4" w:space="0"/>
              <w:left w:val="single" w:color="auto" w:sz="4" w:space="0"/>
            </w:tcBorders>
            <w:shd w:val="clear" w:color="auto" w:fill="FFFFFF"/>
            <w:noWrap w:val="0"/>
            <w:vAlign w:val="center"/>
          </w:tcPr>
          <w:p w14:paraId="6014DEF3">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24kw</w:t>
            </w:r>
          </w:p>
        </w:tc>
        <w:tc>
          <w:tcPr>
            <w:tcW w:w="1230" w:type="dxa"/>
            <w:tcBorders>
              <w:top w:val="single" w:color="auto" w:sz="4" w:space="0"/>
              <w:left w:val="single" w:color="auto" w:sz="4" w:space="0"/>
            </w:tcBorders>
            <w:shd w:val="clear" w:color="auto" w:fill="FFFFFF"/>
            <w:noWrap w:val="0"/>
            <w:vAlign w:val="center"/>
          </w:tcPr>
          <w:p w14:paraId="43961E5F">
            <w:pPr>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台</w:t>
            </w:r>
          </w:p>
        </w:tc>
        <w:tc>
          <w:tcPr>
            <w:tcW w:w="1249" w:type="dxa"/>
            <w:tcBorders>
              <w:top w:val="single" w:color="auto" w:sz="4" w:space="0"/>
              <w:left w:val="single" w:color="auto" w:sz="4" w:space="0"/>
            </w:tcBorders>
            <w:shd w:val="clear" w:color="auto" w:fill="FFFFFF"/>
            <w:noWrap w:val="0"/>
            <w:vAlign w:val="center"/>
          </w:tcPr>
          <w:p w14:paraId="254C5939">
            <w:pPr>
              <w:pStyle w:val="43"/>
              <w:spacing w:line="360" w:lineRule="auto"/>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1</w:t>
            </w:r>
          </w:p>
        </w:tc>
        <w:tc>
          <w:tcPr>
            <w:tcW w:w="950" w:type="dxa"/>
            <w:tcBorders>
              <w:top w:val="single" w:color="auto" w:sz="4" w:space="0"/>
              <w:left w:val="single" w:color="auto" w:sz="4" w:space="0"/>
            </w:tcBorders>
            <w:shd w:val="clear" w:color="auto" w:fill="FFFFFF"/>
            <w:noWrap w:val="0"/>
            <w:vAlign w:val="center"/>
          </w:tcPr>
          <w:p w14:paraId="47BFD71C">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w:t>
            </w:r>
          </w:p>
        </w:tc>
        <w:tc>
          <w:tcPr>
            <w:tcW w:w="1803" w:type="dxa"/>
            <w:tcBorders>
              <w:top w:val="single" w:color="auto" w:sz="4" w:space="0"/>
              <w:left w:val="single" w:color="auto" w:sz="4" w:space="0"/>
            </w:tcBorders>
            <w:shd w:val="clear" w:color="auto" w:fill="FFFFFF"/>
            <w:noWrap w:val="0"/>
            <w:vAlign w:val="center"/>
          </w:tcPr>
          <w:p w14:paraId="7A9CE1E9">
            <w:pPr>
              <w:spacing w:line="360" w:lineRule="auto"/>
              <w:jc w:val="center"/>
              <w:rPr>
                <w:rFonts w:hint="default" w:ascii="宋体" w:hAnsi="宋体" w:cs="宋体"/>
                <w:color w:val="000000"/>
                <w:kern w:val="2"/>
                <w:sz w:val="21"/>
                <w:szCs w:val="21"/>
                <w:u w:val="none"/>
                <w:shd w:val="clear" w:color="auto" w:fill="auto"/>
                <w:lang w:val="en-US" w:eastAsia="zh-CN" w:bidi="zh-TW"/>
              </w:rPr>
            </w:pPr>
            <w:r>
              <w:rPr>
                <w:rFonts w:hint="eastAsia" w:ascii="宋体" w:hAnsi="宋体" w:cs="宋体"/>
                <w:color w:val="000000"/>
                <w:kern w:val="2"/>
                <w:sz w:val="21"/>
                <w:szCs w:val="21"/>
                <w:u w:val="none"/>
                <w:shd w:val="clear" w:color="auto" w:fill="auto"/>
                <w:lang w:val="en-US" w:eastAsia="zh-CN" w:bidi="zh-TW"/>
              </w:rPr>
              <w:t>-</w:t>
            </w:r>
          </w:p>
        </w:tc>
      </w:tr>
    </w:tbl>
    <w:p w14:paraId="7FFE9C9F">
      <w:pPr>
        <w:bidi w:val="0"/>
      </w:pPr>
    </w:p>
    <w:p w14:paraId="38E2186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110" w:name="_Toc18568"/>
      <w:bookmarkStart w:id="111" w:name="_Toc18722"/>
      <w:bookmarkStart w:id="112" w:name="_Toc28789"/>
      <w:bookmarkStart w:id="113" w:name="_Toc4486"/>
      <w:r>
        <w:rPr>
          <w:rFonts w:hint="eastAsia" w:ascii="宋体" w:hAnsi="宋体" w:eastAsia="宋体" w:cs="宋体"/>
          <w:b/>
          <w:smallCaps/>
          <w:color w:val="auto"/>
          <w:kern w:val="0"/>
          <w:sz w:val="32"/>
          <w:szCs w:val="32"/>
          <w:lang w:val="en-US" w:eastAsia="zh-CN"/>
        </w:rPr>
        <w:t>2.5公辅设施</w:t>
      </w:r>
      <w:bookmarkEnd w:id="110"/>
      <w:bookmarkEnd w:id="111"/>
      <w:bookmarkEnd w:id="112"/>
      <w:bookmarkEnd w:id="113"/>
    </w:p>
    <w:p w14:paraId="614B52B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114" w:name="_Toc2925"/>
      <w:bookmarkStart w:id="115" w:name="_Toc6805"/>
      <w:bookmarkStart w:id="116" w:name="_Toc14201"/>
      <w:bookmarkStart w:id="117" w:name="_Toc3200"/>
      <w:r>
        <w:rPr>
          <w:rFonts w:hint="eastAsia" w:ascii="宋体" w:hAnsi="宋体" w:eastAsia="宋体" w:cs="宋体"/>
          <w:b/>
          <w:sz w:val="30"/>
          <w:szCs w:val="30"/>
          <w:lang w:val="en-US" w:eastAsia="zh-CN"/>
        </w:rPr>
        <w:t>2.5.1供配电</w:t>
      </w:r>
      <w:bookmarkEnd w:id="114"/>
      <w:bookmarkEnd w:id="115"/>
      <w:bookmarkEnd w:id="116"/>
      <w:bookmarkEnd w:id="117"/>
    </w:p>
    <w:p w14:paraId="64BB0024">
      <w:pPr>
        <w:keepNext w:val="0"/>
        <w:keepLines w:val="0"/>
        <w:pageBreakBefore w:val="0"/>
        <w:widowControl w:val="0"/>
        <w:tabs>
          <w:tab w:val="left" w:pos="8610"/>
        </w:tabs>
        <w:kinsoku/>
        <w:wordWrap/>
        <w:overflowPunct/>
        <w:topLinePunct w:val="0"/>
        <w:autoSpaceDE/>
        <w:autoSpaceDN/>
        <w:bidi w:val="0"/>
        <w:adjustRightInd w:val="0"/>
        <w:snapToGrid w:val="0"/>
        <w:spacing w:beforeAutospacing="0" w:afterAutospacing="0" w:line="600" w:lineRule="exact"/>
        <w:ind w:firstLine="560" w:firstLineChars="200"/>
        <w:jc w:val="both"/>
        <w:textAlignment w:val="auto"/>
        <w:outlineLvl w:val="9"/>
        <w:rPr>
          <w:rFonts w:hint="eastAsia" w:ascii="宋体" w:hAnsi="宋体" w:eastAsia="宋体" w:cs="宋体"/>
          <w:b w:val="0"/>
          <w:bCs/>
          <w:i w:val="0"/>
          <w:iCs w:val="0"/>
          <w:caps w:val="0"/>
          <w:spacing w:val="0"/>
          <w:sz w:val="28"/>
          <w:szCs w:val="28"/>
          <w:shd w:val="clear" w:fill="FFFFFF"/>
        </w:rPr>
      </w:pPr>
      <w:r>
        <w:rPr>
          <w:rFonts w:hint="eastAsia" w:ascii="宋体" w:hAnsi="宋体" w:eastAsia="宋体" w:cs="宋体"/>
          <w:b w:val="0"/>
          <w:bCs/>
          <w:i w:val="0"/>
          <w:iCs w:val="0"/>
          <w:caps w:val="0"/>
          <w:spacing w:val="0"/>
          <w:sz w:val="28"/>
          <w:szCs w:val="28"/>
          <w:shd w:val="clear" w:fill="FFFFFF"/>
        </w:rPr>
        <w:t>供电电源：加油站供电负荷为三级，380/220V，由兰坪县市政电力电网供给，由市政电力电网引入一股 380/220V 电力线至加油站配电室内的低压配电柜，站内采用放射式配电方式，由配电柜出来用电缆敷设，穿越行车道部分采用钢管保护。配电系统的接地方式采用 TN - S 系统。加油站设有 1 台 24kW 的柴油发电机组作为备用电源。站房内及生活用房内采用非防爆型照明灯，罩棚下的灯具选用等级不低于 IP44 级的节能防护型。</w:t>
      </w:r>
    </w:p>
    <w:p w14:paraId="38BFAF22">
      <w:pPr>
        <w:keepNext w:val="0"/>
        <w:keepLines w:val="0"/>
        <w:pageBreakBefore w:val="0"/>
        <w:widowControl w:val="0"/>
        <w:tabs>
          <w:tab w:val="left" w:pos="8610"/>
        </w:tabs>
        <w:kinsoku/>
        <w:wordWrap/>
        <w:overflowPunct/>
        <w:topLinePunct w:val="0"/>
        <w:autoSpaceDE/>
        <w:autoSpaceDN/>
        <w:bidi w:val="0"/>
        <w:adjustRightInd w:val="0"/>
        <w:snapToGrid w:val="0"/>
        <w:spacing w:beforeAutospacing="0" w:afterAutospacing="0" w:line="600" w:lineRule="exact"/>
        <w:ind w:firstLine="560" w:firstLineChars="200"/>
        <w:jc w:val="both"/>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i w:val="0"/>
          <w:iCs w:val="0"/>
          <w:caps w:val="0"/>
          <w:spacing w:val="0"/>
          <w:sz w:val="28"/>
          <w:szCs w:val="28"/>
          <w:shd w:val="clear" w:fill="FFFFFF"/>
        </w:rPr>
        <w:t>配电室设置了绝缘胶垫、二氧化碳灭火器和应急照明灯，并配备了绝缘手套、绝缘靴等电工用具。</w:t>
      </w:r>
    </w:p>
    <w:p w14:paraId="6BF8F05F">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cs="宋体"/>
          <w:b/>
          <w:sz w:val="30"/>
          <w:szCs w:val="30"/>
          <w:lang w:val="en-US" w:eastAsia="zh-CN"/>
        </w:rPr>
      </w:pPr>
      <w:bookmarkStart w:id="118" w:name="_Toc18142"/>
      <w:r>
        <w:rPr>
          <w:rFonts w:hint="eastAsia" w:ascii="宋体" w:hAnsi="宋体" w:eastAsia="宋体" w:cs="宋体"/>
          <w:b/>
          <w:sz w:val="30"/>
          <w:szCs w:val="30"/>
          <w:lang w:val="en-US" w:eastAsia="zh-CN"/>
        </w:rPr>
        <w:t>2.5.</w:t>
      </w:r>
      <w:r>
        <w:rPr>
          <w:rFonts w:hint="eastAsia" w:ascii="宋体" w:hAnsi="宋体" w:cs="宋体"/>
          <w:b/>
          <w:sz w:val="30"/>
          <w:szCs w:val="30"/>
          <w:lang w:val="en-US" w:eastAsia="zh-CN"/>
        </w:rPr>
        <w:t>2给排水</w:t>
      </w:r>
      <w:bookmarkEnd w:id="118"/>
    </w:p>
    <w:p w14:paraId="55BADFB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00" w:lineRule="exact"/>
        <w:ind w:left="0" w:leftChars="0" w:firstLine="560" w:firstLineChars="200"/>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kern w:val="2"/>
          <w:sz w:val="28"/>
          <w:szCs w:val="28"/>
          <w:lang w:val="en-US" w:eastAsia="zh-CN" w:bidi="ar-SA"/>
        </w:rPr>
        <w:t>1.</w:t>
      </w:r>
      <w:r>
        <w:rPr>
          <w:rFonts w:hint="eastAsia" w:ascii="宋体" w:hAnsi="宋体" w:eastAsia="宋体" w:cs="宋体"/>
          <w:i w:val="0"/>
          <w:iCs w:val="0"/>
          <w:caps w:val="0"/>
          <w:color w:val="000000"/>
          <w:spacing w:val="0"/>
          <w:sz w:val="28"/>
          <w:szCs w:val="28"/>
          <w:shd w:val="clear" w:fill="FFFFFF"/>
        </w:rPr>
        <w:t>供水</w:t>
      </w:r>
    </w:p>
    <w:p w14:paraId="38CC2F3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0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本项目用水由兰坪县兰坪镇第八十一社区自来</w:t>
      </w:r>
      <w:r>
        <w:rPr>
          <w:rFonts w:hint="eastAsia" w:ascii="宋体" w:hAnsi="宋体" w:cs="宋体"/>
          <w:i w:val="0"/>
          <w:iCs w:val="0"/>
          <w:caps w:val="0"/>
          <w:color w:val="000000"/>
          <w:spacing w:val="0"/>
          <w:sz w:val="28"/>
          <w:szCs w:val="28"/>
          <w:shd w:val="clear" w:fill="FFFFFF"/>
          <w:lang w:val="en-US" w:eastAsia="zh-CN"/>
        </w:rPr>
        <w:t>水</w:t>
      </w:r>
      <w:r>
        <w:rPr>
          <w:rFonts w:hint="eastAsia" w:ascii="宋体" w:hAnsi="宋体" w:eastAsia="宋体" w:cs="宋体"/>
          <w:i w:val="0"/>
          <w:iCs w:val="0"/>
          <w:caps w:val="0"/>
          <w:color w:val="000000"/>
          <w:spacing w:val="0"/>
          <w:sz w:val="28"/>
          <w:szCs w:val="28"/>
          <w:shd w:val="clear" w:fill="FFFFFF"/>
        </w:rPr>
        <w:t>供水管网供给，能满足加油站每日生活及清洗用水。</w:t>
      </w:r>
    </w:p>
    <w:p w14:paraId="7E69D90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00" w:lineRule="exact"/>
        <w:ind w:left="0" w:leftChars="0" w:firstLine="560" w:firstLineChars="200"/>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kern w:val="2"/>
          <w:sz w:val="28"/>
          <w:szCs w:val="28"/>
          <w:lang w:val="en-US" w:eastAsia="zh-CN" w:bidi="ar-SA"/>
        </w:rPr>
        <w:t>2.</w:t>
      </w:r>
      <w:r>
        <w:rPr>
          <w:rFonts w:hint="eastAsia" w:ascii="宋体" w:hAnsi="宋体" w:eastAsia="宋体" w:cs="宋体"/>
          <w:i w:val="0"/>
          <w:iCs w:val="0"/>
          <w:caps w:val="0"/>
          <w:color w:val="000000"/>
          <w:spacing w:val="0"/>
          <w:sz w:val="28"/>
          <w:szCs w:val="28"/>
          <w:shd w:val="clear" w:fill="FFFFFF"/>
        </w:rPr>
        <w:t>排水</w:t>
      </w:r>
    </w:p>
    <w:p w14:paraId="4D39224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60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000000"/>
          <w:spacing w:val="0"/>
          <w:sz w:val="28"/>
          <w:szCs w:val="28"/>
          <w:shd w:val="clear" w:fill="FFFFFF"/>
        </w:rPr>
        <w:t>本项目采用雨污分流排水方式。站内雨水散流排出站外，罩棚雨水经管道收集采用暗管排至市政雨水管网。加油站废水主要为冲洗地面含油污水，含油污水经环保沟收集，经过站西侧绿化带内三级油水分离池收集处理后排至站外污水管网。生活污水经化粪池处理后排至市政污水管网。清洗油罐由专业工作人员通过活动式回收桶收集后集中处理，不会对周围环境造成污染。</w:t>
      </w:r>
    </w:p>
    <w:p w14:paraId="4ACF6BA6">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19" w:name="_Toc23247"/>
      <w:bookmarkStart w:id="120" w:name="_Toc720"/>
      <w:bookmarkStart w:id="121" w:name="_Toc27316"/>
      <w:bookmarkStart w:id="122" w:name="_Toc312"/>
      <w:bookmarkStart w:id="123" w:name="_Toc25015"/>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5</w:t>
      </w:r>
      <w:r>
        <w:rPr>
          <w:rFonts w:hint="eastAsia" w:ascii="宋体" w:hAnsi="宋体" w:eastAsia="宋体" w:cs="宋体"/>
          <w:color w:val="000000"/>
          <w:kern w:val="3"/>
          <w:sz w:val="30"/>
          <w:szCs w:val="30"/>
        </w:rPr>
        <w:t>.3防雷防静电</w:t>
      </w:r>
      <w:bookmarkEnd w:id="119"/>
      <w:bookmarkEnd w:id="120"/>
      <w:bookmarkEnd w:id="121"/>
      <w:bookmarkEnd w:id="122"/>
      <w:bookmarkEnd w:id="123"/>
    </w:p>
    <w:p w14:paraId="1739556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加油站的防雷防静电按《建筑物防雷设计规范》，在站房和加油棚顶敷设避雷网。</w:t>
      </w:r>
    </w:p>
    <w:p w14:paraId="35613E7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i w:val="0"/>
          <w:iCs w:val="0"/>
          <w:caps w:val="0"/>
          <w:spacing w:val="0"/>
          <w:sz w:val="28"/>
          <w:szCs w:val="28"/>
          <w:shd w:val="clear" w:fill="FFFFFF"/>
        </w:rPr>
        <w:t>加油站建筑物防雷等级为二级，建筑物的防雷装置满足防直击雷、防雷电感应及雷电波的侵入，并设置总等电位联结。站房和罩棚采用避雷带保护，罩棚防雷接地引下线利用每根罩棚立柱的主筋与接地桩及屋顶防雷网连接。油罐防雷接地点不少于两处，埋地油罐与非埋地部分的工艺金属管道相互做电气连接并接地。输油管道的法兰两端用金属铜片进行跨接。卸油区设置静电接地报警装置。</w:t>
      </w:r>
    </w:p>
    <w:p w14:paraId="281DA3C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加油站于202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r>
        <w:rPr>
          <w:rFonts w:hint="eastAsia" w:ascii="宋体" w:hAnsi="宋体" w:cs="宋体"/>
          <w:color w:val="000000"/>
          <w:sz w:val="28"/>
          <w:szCs w:val="28"/>
          <w:lang w:val="en-US" w:eastAsia="zh-CN"/>
        </w:rPr>
        <w:t>07</w:t>
      </w:r>
      <w:r>
        <w:rPr>
          <w:rFonts w:hint="eastAsia" w:ascii="宋体" w:hAnsi="宋体" w:eastAsia="宋体" w:cs="宋体"/>
          <w:color w:val="000000"/>
          <w:sz w:val="28"/>
          <w:szCs w:val="28"/>
        </w:rPr>
        <w:t>日由</w:t>
      </w:r>
      <w:r>
        <w:rPr>
          <w:rFonts w:hint="eastAsia" w:ascii="宋体" w:hAnsi="宋体" w:cs="宋体"/>
          <w:color w:val="000000"/>
          <w:sz w:val="28"/>
          <w:szCs w:val="28"/>
          <w:lang w:val="en-US" w:eastAsia="zh-CN"/>
        </w:rPr>
        <w:t>云南省</w:t>
      </w:r>
      <w:r>
        <w:rPr>
          <w:rFonts w:hint="eastAsia" w:ascii="宋体" w:hAnsi="宋体" w:eastAsia="宋体" w:cs="宋体"/>
          <w:color w:val="000000"/>
          <w:sz w:val="28"/>
          <w:szCs w:val="28"/>
        </w:rPr>
        <w:t>气象灾害防御技术中心出具《雷电装置检测报告》</w:t>
      </w:r>
      <w:r>
        <w:rPr>
          <w:rFonts w:hint="eastAsia" w:ascii="宋体" w:hAnsi="宋体" w:cs="宋体"/>
          <w:color w:val="000000"/>
          <w:sz w:val="28"/>
          <w:szCs w:val="28"/>
          <w:lang w:val="en-US" w:eastAsia="zh-CN"/>
        </w:rPr>
        <w:t>楚雷检字云雷检字[2024] NJ 第 0029-1号。</w:t>
      </w:r>
    </w:p>
    <w:p w14:paraId="12925E17">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124" w:name="_Toc12850"/>
      <w:bookmarkStart w:id="125" w:name="_Toc6796"/>
      <w:bookmarkStart w:id="126" w:name="_Toc31276"/>
      <w:bookmarkStart w:id="127" w:name="_Toc18214"/>
      <w:r>
        <w:rPr>
          <w:rFonts w:hint="eastAsia" w:ascii="宋体" w:hAnsi="宋体" w:eastAsia="宋体" w:cs="宋体"/>
          <w:b/>
          <w:smallCaps/>
          <w:color w:val="auto"/>
          <w:kern w:val="0"/>
          <w:sz w:val="32"/>
          <w:szCs w:val="32"/>
          <w:lang w:val="en-US" w:eastAsia="zh-CN"/>
        </w:rPr>
        <w:t>2.6安全设施及安全投入</w:t>
      </w:r>
      <w:bookmarkEnd w:id="124"/>
      <w:bookmarkEnd w:id="125"/>
      <w:bookmarkEnd w:id="126"/>
      <w:bookmarkEnd w:id="127"/>
    </w:p>
    <w:p w14:paraId="0AAC0AB3">
      <w:pPr>
        <w:pStyle w:val="3"/>
        <w:pageBreakBefore w:val="0"/>
        <w:widowControl w:val="0"/>
        <w:kinsoku/>
        <w:wordWrap/>
        <w:overflowPunct/>
        <w:topLinePunct w:val="0"/>
        <w:autoSpaceDE/>
        <w:autoSpaceDN/>
        <w:bidi w:val="0"/>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28" w:name="_Toc31607"/>
      <w:bookmarkStart w:id="129" w:name="_Toc8913"/>
      <w:bookmarkStart w:id="130" w:name="_Toc22739"/>
      <w:bookmarkStart w:id="131" w:name="_Toc22986"/>
      <w:bookmarkStart w:id="132" w:name="_Toc2665"/>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.1油罐及卸油区安全设施</w:t>
      </w:r>
      <w:bookmarkEnd w:id="128"/>
      <w:bookmarkEnd w:id="129"/>
      <w:bookmarkEnd w:id="130"/>
      <w:bookmarkEnd w:id="131"/>
      <w:bookmarkEnd w:id="132"/>
    </w:p>
    <w:p w14:paraId="109EA3A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1、罐池内设置了水位观测井。</w:t>
      </w:r>
    </w:p>
    <w:p w14:paraId="03BC34C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2、油罐埋地设置。</w:t>
      </w:r>
    </w:p>
    <w:p w14:paraId="32A05DD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3、油罐为SS储油罐。</w:t>
      </w:r>
    </w:p>
    <w:p w14:paraId="3AE4AF52">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4、每个罐设置有两个人孔盖操作井，井盖为统一专用井盖。</w:t>
      </w:r>
    </w:p>
    <w:p w14:paraId="7111B79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5、油罐设置了液位在线监测，报警装置终端安装在</w:t>
      </w:r>
      <w:r>
        <w:rPr>
          <w:rFonts w:hint="eastAsia" w:ascii="宋体" w:hAnsi="宋体" w:cs="宋体"/>
          <w:color w:val="000000"/>
          <w:sz w:val="28"/>
          <w:szCs w:val="28"/>
          <w:lang w:val="en-US" w:eastAsia="zh-CN"/>
        </w:rPr>
        <w:t>营业</w:t>
      </w:r>
      <w:r>
        <w:rPr>
          <w:rFonts w:hint="eastAsia" w:ascii="宋体" w:hAnsi="宋体" w:eastAsia="宋体" w:cs="宋体"/>
          <w:color w:val="000000"/>
          <w:sz w:val="28"/>
          <w:szCs w:val="28"/>
        </w:rPr>
        <w:t>室内。</w:t>
      </w:r>
    </w:p>
    <w:p w14:paraId="33B66F3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6、油罐操作井内的输油管道法兰用铜片做了静电跨接，用铜缆线做了接地连接。</w:t>
      </w:r>
    </w:p>
    <w:p w14:paraId="1DCA16FE">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7、油罐人孔盖上设置有人工量油孔。</w:t>
      </w:r>
    </w:p>
    <w:p w14:paraId="09916CB3">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8、油罐安装了通气管，通气管为DN50钢管，通气管设置于油罐区北部，高出地面4.5m。汽油罐（油气回收油罐）通气管管口安装了机械呼吸阀和阻火帽，柴油通气管安装了阻火帽。</w:t>
      </w:r>
    </w:p>
    <w:p w14:paraId="2996ABBF">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9、卸油口一侧设置了1根人体静电释放柱，旁边设置了静电接地桩，配备有带报警的卸油静电接地报警仪。</w:t>
      </w:r>
    </w:p>
    <w:p w14:paraId="7275E4A1">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10、卸油口旁边设置了卸油安全操作规程告知牌。</w:t>
      </w:r>
    </w:p>
    <w:p w14:paraId="5BF4EB73">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11、罐池外设置了消防沙池并配备了消防桶、消防铲及灭火器。</w:t>
      </w:r>
    </w:p>
    <w:p w14:paraId="4228F712">
      <w:pPr>
        <w:pStyle w:val="3"/>
        <w:pageBreakBefore w:val="0"/>
        <w:widowControl w:val="0"/>
        <w:kinsoku/>
        <w:wordWrap/>
        <w:overflowPunct/>
        <w:topLinePunct w:val="0"/>
        <w:autoSpaceDE/>
        <w:autoSpaceDN/>
        <w:bidi w:val="0"/>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33" w:name="_Toc20917"/>
      <w:bookmarkStart w:id="134" w:name="_Toc29222"/>
      <w:bookmarkStart w:id="135" w:name="_Toc17119"/>
      <w:bookmarkStart w:id="136" w:name="_Toc1318"/>
      <w:bookmarkStart w:id="137" w:name="_Toc28625"/>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.2加油区安全设施</w:t>
      </w:r>
      <w:bookmarkEnd w:id="133"/>
      <w:bookmarkEnd w:id="134"/>
      <w:bookmarkEnd w:id="135"/>
      <w:bookmarkEnd w:id="136"/>
      <w:bookmarkEnd w:id="137"/>
    </w:p>
    <w:p w14:paraId="4C2C465C">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1、加油机为潜油泵式加油机，加油机电气设备为防爆型，电气设备和加油机外壳均已接地。加油机底部工艺管道沟已填埋细砂。</w:t>
      </w:r>
    </w:p>
    <w:p w14:paraId="0952AEB1">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2、加油机上设置了急停按钮，设置了静电释放触摸器，加油机上做了油品标识。</w:t>
      </w:r>
    </w:p>
    <w:p w14:paraId="18E9A69C">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3、加油机加油软管上安装安全拉断阀。</w:t>
      </w:r>
    </w:p>
    <w:p w14:paraId="4763C757">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4、加油机底部供油管设置了剪切阀。</w:t>
      </w:r>
    </w:p>
    <w:p w14:paraId="655CD377">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5、加油岛端部（罩棚立柱）设置防碰撞栏杆，岛端距离罩棚立柱0.</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m。加油区设置了应急照明。</w:t>
      </w:r>
    </w:p>
    <w:p w14:paraId="571C4BCD">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6、罩棚立柱上设置有严禁烟火标识，设置熄火加油、限速5公里等标识。</w:t>
      </w:r>
    </w:p>
    <w:p w14:paraId="4E0A53B1">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7、站内道路为水泥地面。</w:t>
      </w:r>
    </w:p>
    <w:p w14:paraId="0542B0CE">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8、在加油区、埋地罐区内安装了视频监控探头，监控屏幕设置在营业室内。</w:t>
      </w:r>
    </w:p>
    <w:p w14:paraId="3D85682B">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ascii="宋体" w:hAnsi="宋体" w:eastAsia="宋体" w:cs="宋体"/>
          <w:color w:val="000000"/>
          <w:sz w:val="28"/>
          <w:szCs w:val="28"/>
        </w:rPr>
        <w:t>9、加油区进站口、出站口设置了“进口”、“出口”指示箭头标识牌。在进、出站口的地面上设置了减速带和限速标志。</w:t>
      </w:r>
    </w:p>
    <w:p w14:paraId="6E7A3DA7">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38" w:name="_Toc15282"/>
      <w:bookmarkStart w:id="139" w:name="_Toc973"/>
      <w:bookmarkStart w:id="140" w:name="_Toc11580"/>
      <w:bookmarkStart w:id="141" w:name="_Toc24583"/>
      <w:bookmarkStart w:id="142" w:name="_Toc21008"/>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.3消防设施</w:t>
      </w:r>
      <w:bookmarkEnd w:id="138"/>
      <w:bookmarkEnd w:id="139"/>
      <w:bookmarkEnd w:id="140"/>
      <w:bookmarkEnd w:id="141"/>
      <w:bookmarkEnd w:id="142"/>
    </w:p>
    <w:p w14:paraId="2D6778C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i w:val="0"/>
          <w:iCs w:val="0"/>
          <w:caps w:val="0"/>
          <w:spacing w:val="0"/>
          <w:sz w:val="28"/>
          <w:szCs w:val="28"/>
          <w:shd w:val="clear" w:fill="FFFFFF"/>
          <w:lang w:val="en-US" w:eastAsia="zh-CN"/>
        </w:rPr>
      </w:pPr>
      <w:r>
        <w:rPr>
          <w:rFonts w:hint="eastAsia" w:ascii="宋体" w:hAnsi="宋体" w:eastAsia="宋体" w:cs="宋体"/>
          <w:i w:val="0"/>
          <w:iCs w:val="0"/>
          <w:caps w:val="0"/>
          <w:spacing w:val="0"/>
          <w:sz w:val="28"/>
          <w:szCs w:val="28"/>
          <w:shd w:val="clear" w:fill="FFFFFF"/>
        </w:rPr>
        <w:t>根据《汽车加油加气加氢站技术标准》（GB 50156 - 2021）的要求，加油站消防设施配置情况见表</w:t>
      </w:r>
      <w:r>
        <w:rPr>
          <w:rFonts w:hint="eastAsia" w:ascii="宋体" w:hAnsi="宋体" w:eastAsia="宋体" w:cs="宋体"/>
          <w:i w:val="0"/>
          <w:iCs w:val="0"/>
          <w:caps w:val="0"/>
          <w:spacing w:val="0"/>
          <w:sz w:val="28"/>
          <w:szCs w:val="28"/>
          <w:shd w:val="clear" w:fill="FFFFFF"/>
          <w:lang w:val="en-US" w:eastAsia="zh-CN"/>
        </w:rPr>
        <w:t>2-6。</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354"/>
        <w:gridCol w:w="1567"/>
        <w:gridCol w:w="1567"/>
        <w:gridCol w:w="1567"/>
        <w:gridCol w:w="1567"/>
      </w:tblGrid>
      <w:tr w14:paraId="2A91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4D76F70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序号</w:t>
            </w:r>
          </w:p>
        </w:tc>
        <w:tc>
          <w:tcPr>
            <w:tcW w:w="2354" w:type="dxa"/>
          </w:tcPr>
          <w:p w14:paraId="261CC73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设备名称</w:t>
            </w:r>
          </w:p>
        </w:tc>
        <w:tc>
          <w:tcPr>
            <w:tcW w:w="1567" w:type="dxa"/>
          </w:tcPr>
          <w:p w14:paraId="136740B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型号及规格</w:t>
            </w:r>
          </w:p>
        </w:tc>
        <w:tc>
          <w:tcPr>
            <w:tcW w:w="1567" w:type="dxa"/>
          </w:tcPr>
          <w:p w14:paraId="23F0470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单位</w:t>
            </w:r>
          </w:p>
        </w:tc>
        <w:tc>
          <w:tcPr>
            <w:tcW w:w="1567" w:type="dxa"/>
          </w:tcPr>
          <w:p w14:paraId="6850EC5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数量</w:t>
            </w:r>
          </w:p>
        </w:tc>
        <w:tc>
          <w:tcPr>
            <w:tcW w:w="1567" w:type="dxa"/>
          </w:tcPr>
          <w:p w14:paraId="35C7EAC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备注</w:t>
            </w:r>
          </w:p>
        </w:tc>
      </w:tr>
      <w:tr w14:paraId="6477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677D34B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1</w:t>
            </w:r>
          </w:p>
        </w:tc>
        <w:tc>
          <w:tcPr>
            <w:tcW w:w="2354" w:type="dxa"/>
          </w:tcPr>
          <w:p w14:paraId="75DA555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手提式干粉灭火器</w:t>
            </w:r>
          </w:p>
        </w:tc>
        <w:tc>
          <w:tcPr>
            <w:tcW w:w="1567" w:type="dxa"/>
          </w:tcPr>
          <w:p w14:paraId="63F8DFF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MFZ/ABC5</w:t>
            </w:r>
          </w:p>
        </w:tc>
        <w:tc>
          <w:tcPr>
            <w:tcW w:w="1567" w:type="dxa"/>
          </w:tcPr>
          <w:p w14:paraId="346C0E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支</w:t>
            </w:r>
          </w:p>
        </w:tc>
        <w:tc>
          <w:tcPr>
            <w:tcW w:w="1567" w:type="dxa"/>
          </w:tcPr>
          <w:p w14:paraId="2D5B0D8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8</w:t>
            </w:r>
          </w:p>
        </w:tc>
        <w:tc>
          <w:tcPr>
            <w:tcW w:w="1567" w:type="dxa"/>
          </w:tcPr>
          <w:p w14:paraId="1FBAD7F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加油区</w:t>
            </w:r>
          </w:p>
        </w:tc>
      </w:tr>
      <w:tr w14:paraId="499D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4FB6937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2</w:t>
            </w:r>
          </w:p>
        </w:tc>
        <w:tc>
          <w:tcPr>
            <w:tcW w:w="2354" w:type="dxa"/>
          </w:tcPr>
          <w:p w14:paraId="330977D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手提式干粉灭火器</w:t>
            </w:r>
          </w:p>
        </w:tc>
        <w:tc>
          <w:tcPr>
            <w:tcW w:w="1567" w:type="dxa"/>
          </w:tcPr>
          <w:p w14:paraId="455AA1D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default" w:ascii="宋体" w:hAnsi="宋体" w:eastAsia="宋体" w:cs="宋体"/>
                <w:i w:val="0"/>
                <w:iCs w:val="0"/>
                <w:caps w:val="0"/>
                <w:spacing w:val="0"/>
                <w:sz w:val="24"/>
                <w:szCs w:val="24"/>
                <w:shd w:val="clear" w:fill="FFFFFF"/>
                <w:vertAlign w:val="baseline"/>
                <w:lang w:val="en-US" w:eastAsia="zh-CN"/>
              </w:rPr>
              <w:t>MFZ/ABC4</w:t>
            </w:r>
          </w:p>
        </w:tc>
        <w:tc>
          <w:tcPr>
            <w:tcW w:w="1567" w:type="dxa"/>
          </w:tcPr>
          <w:p w14:paraId="2939E4B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支</w:t>
            </w:r>
          </w:p>
        </w:tc>
        <w:tc>
          <w:tcPr>
            <w:tcW w:w="1567" w:type="dxa"/>
          </w:tcPr>
          <w:p w14:paraId="1ED92F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2</w:t>
            </w:r>
          </w:p>
        </w:tc>
        <w:tc>
          <w:tcPr>
            <w:tcW w:w="1567" w:type="dxa"/>
          </w:tcPr>
          <w:p w14:paraId="674D91A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油罐区</w:t>
            </w:r>
          </w:p>
        </w:tc>
      </w:tr>
      <w:tr w14:paraId="45C9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14:paraId="5738E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3</w:t>
            </w:r>
          </w:p>
        </w:tc>
        <w:tc>
          <w:tcPr>
            <w:tcW w:w="2354" w:type="dxa"/>
            <w:vAlign w:val="center"/>
          </w:tcPr>
          <w:p w14:paraId="16DD7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default" w:ascii="宋体" w:hAnsi="宋体" w:eastAsia="宋体" w:cs="宋体"/>
                <w:i w:val="0"/>
                <w:iCs w:val="0"/>
                <w:caps w:val="0"/>
                <w:spacing w:val="0"/>
                <w:sz w:val="24"/>
                <w:szCs w:val="24"/>
                <w:shd w:val="clear" w:fill="FFFFFF"/>
                <w:vertAlign w:val="baseline"/>
                <w:lang w:val="en-US" w:eastAsia="zh-CN"/>
              </w:rPr>
              <w:t>推车式干粉灭火器</w:t>
            </w:r>
          </w:p>
        </w:tc>
        <w:tc>
          <w:tcPr>
            <w:tcW w:w="1567" w:type="dxa"/>
            <w:vAlign w:val="center"/>
          </w:tcPr>
          <w:p w14:paraId="719DC6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default" w:ascii="宋体" w:hAnsi="宋体" w:eastAsia="宋体" w:cs="宋体"/>
                <w:i w:val="0"/>
                <w:iCs w:val="0"/>
                <w:caps w:val="0"/>
                <w:spacing w:val="0"/>
                <w:sz w:val="24"/>
                <w:szCs w:val="24"/>
                <w:shd w:val="clear" w:fill="FFFFFF"/>
                <w:vertAlign w:val="baseline"/>
                <w:lang w:val="en-US" w:eastAsia="zh-CN"/>
              </w:rPr>
              <w:t>MFTZ/ABC35</w:t>
            </w:r>
          </w:p>
        </w:tc>
        <w:tc>
          <w:tcPr>
            <w:tcW w:w="1567" w:type="dxa"/>
            <w:vAlign w:val="center"/>
          </w:tcPr>
          <w:p w14:paraId="188B4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台</w:t>
            </w:r>
          </w:p>
        </w:tc>
        <w:tc>
          <w:tcPr>
            <w:tcW w:w="1567" w:type="dxa"/>
            <w:vAlign w:val="center"/>
          </w:tcPr>
          <w:p w14:paraId="248527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4</w:t>
            </w:r>
          </w:p>
        </w:tc>
        <w:tc>
          <w:tcPr>
            <w:tcW w:w="1567" w:type="dxa"/>
            <w:vAlign w:val="center"/>
          </w:tcPr>
          <w:p w14:paraId="0DEE9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加油区</w:t>
            </w:r>
            <w:r>
              <w:rPr>
                <w:rFonts w:hint="eastAsia" w:ascii="宋体" w:hAnsi="宋体" w:cs="宋体"/>
                <w:i w:val="0"/>
                <w:iCs w:val="0"/>
                <w:caps w:val="0"/>
                <w:spacing w:val="0"/>
                <w:sz w:val="24"/>
                <w:szCs w:val="24"/>
                <w:shd w:val="clear" w:fill="FFFFFF"/>
                <w:vertAlign w:val="baseline"/>
                <w:lang w:val="en-US" w:eastAsia="zh-CN"/>
              </w:rPr>
              <w:t>、</w:t>
            </w:r>
            <w:r>
              <w:rPr>
                <w:rFonts w:hint="eastAsia" w:ascii="宋体" w:hAnsi="宋体" w:eastAsia="宋体" w:cs="宋体"/>
                <w:i w:val="0"/>
                <w:iCs w:val="0"/>
                <w:caps w:val="0"/>
                <w:spacing w:val="0"/>
                <w:sz w:val="24"/>
                <w:szCs w:val="24"/>
                <w:shd w:val="clear" w:fill="FFFFFF"/>
                <w:vertAlign w:val="baseline"/>
                <w:lang w:val="en-US" w:eastAsia="zh-CN"/>
              </w:rPr>
              <w:t>油罐区</w:t>
            </w:r>
          </w:p>
        </w:tc>
      </w:tr>
      <w:tr w14:paraId="6199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14:paraId="586A3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4</w:t>
            </w:r>
          </w:p>
        </w:tc>
        <w:tc>
          <w:tcPr>
            <w:tcW w:w="2354" w:type="dxa"/>
            <w:vAlign w:val="center"/>
          </w:tcPr>
          <w:p w14:paraId="2A43BC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default" w:ascii="宋体" w:hAnsi="宋体" w:eastAsia="宋体" w:cs="宋体"/>
                <w:i w:val="0"/>
                <w:iCs w:val="0"/>
                <w:caps w:val="0"/>
                <w:spacing w:val="0"/>
                <w:sz w:val="24"/>
                <w:szCs w:val="24"/>
                <w:shd w:val="clear" w:fill="FFFFFF"/>
                <w:vertAlign w:val="baseline"/>
                <w:lang w:val="en-US" w:eastAsia="zh-CN"/>
              </w:rPr>
              <w:t>手提式二氧化碳灭火器</w:t>
            </w:r>
          </w:p>
        </w:tc>
        <w:tc>
          <w:tcPr>
            <w:tcW w:w="1567" w:type="dxa"/>
            <w:vAlign w:val="center"/>
          </w:tcPr>
          <w:p w14:paraId="29D4CD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default" w:ascii="宋体" w:hAnsi="宋体" w:eastAsia="宋体" w:cs="宋体"/>
                <w:i w:val="0"/>
                <w:iCs w:val="0"/>
                <w:caps w:val="0"/>
                <w:spacing w:val="0"/>
                <w:sz w:val="24"/>
                <w:szCs w:val="24"/>
                <w:shd w:val="clear" w:fill="FFFFFF"/>
                <w:vertAlign w:val="baseline"/>
                <w:lang w:val="en-US" w:eastAsia="zh-CN"/>
              </w:rPr>
              <w:t>MT/2</w:t>
            </w:r>
          </w:p>
        </w:tc>
        <w:tc>
          <w:tcPr>
            <w:tcW w:w="1567" w:type="dxa"/>
            <w:vAlign w:val="center"/>
          </w:tcPr>
          <w:p w14:paraId="529F8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支</w:t>
            </w:r>
          </w:p>
        </w:tc>
        <w:tc>
          <w:tcPr>
            <w:tcW w:w="1567" w:type="dxa"/>
            <w:vAlign w:val="center"/>
          </w:tcPr>
          <w:p w14:paraId="2FB5E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2</w:t>
            </w:r>
          </w:p>
        </w:tc>
        <w:tc>
          <w:tcPr>
            <w:tcW w:w="1567" w:type="dxa"/>
            <w:vAlign w:val="center"/>
          </w:tcPr>
          <w:p w14:paraId="2B026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配电室</w:t>
            </w:r>
          </w:p>
        </w:tc>
      </w:tr>
      <w:tr w14:paraId="7DE2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14:paraId="2127DC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5</w:t>
            </w:r>
          </w:p>
        </w:tc>
        <w:tc>
          <w:tcPr>
            <w:tcW w:w="2354" w:type="dxa"/>
            <w:vAlign w:val="center"/>
          </w:tcPr>
          <w:p w14:paraId="712FA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手提式水基型灭火器</w:t>
            </w:r>
          </w:p>
        </w:tc>
        <w:tc>
          <w:tcPr>
            <w:tcW w:w="1567" w:type="dxa"/>
            <w:vAlign w:val="center"/>
          </w:tcPr>
          <w:p w14:paraId="13665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MPZ/3</w:t>
            </w:r>
          </w:p>
        </w:tc>
        <w:tc>
          <w:tcPr>
            <w:tcW w:w="1567" w:type="dxa"/>
            <w:vAlign w:val="center"/>
          </w:tcPr>
          <w:p w14:paraId="5EC50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支</w:t>
            </w:r>
          </w:p>
        </w:tc>
        <w:tc>
          <w:tcPr>
            <w:tcW w:w="1567" w:type="dxa"/>
            <w:vAlign w:val="center"/>
          </w:tcPr>
          <w:p w14:paraId="119EE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4</w:t>
            </w:r>
          </w:p>
        </w:tc>
        <w:tc>
          <w:tcPr>
            <w:tcW w:w="1567" w:type="dxa"/>
            <w:vAlign w:val="center"/>
          </w:tcPr>
          <w:p w14:paraId="660F6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站房</w:t>
            </w:r>
          </w:p>
        </w:tc>
      </w:tr>
      <w:tr w14:paraId="1888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Align w:val="center"/>
          </w:tcPr>
          <w:p w14:paraId="68544C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6</w:t>
            </w:r>
          </w:p>
        </w:tc>
        <w:tc>
          <w:tcPr>
            <w:tcW w:w="2354" w:type="dxa"/>
            <w:vAlign w:val="center"/>
          </w:tcPr>
          <w:p w14:paraId="0D2CD8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灭火毯</w:t>
            </w:r>
          </w:p>
        </w:tc>
        <w:tc>
          <w:tcPr>
            <w:tcW w:w="1567" w:type="dxa"/>
            <w:vAlign w:val="center"/>
          </w:tcPr>
          <w:p w14:paraId="25B9C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w:t>
            </w:r>
          </w:p>
        </w:tc>
        <w:tc>
          <w:tcPr>
            <w:tcW w:w="1567" w:type="dxa"/>
            <w:vAlign w:val="center"/>
          </w:tcPr>
          <w:p w14:paraId="452779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块</w:t>
            </w:r>
          </w:p>
        </w:tc>
        <w:tc>
          <w:tcPr>
            <w:tcW w:w="1567" w:type="dxa"/>
            <w:vAlign w:val="center"/>
          </w:tcPr>
          <w:p w14:paraId="6E4CD9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6</w:t>
            </w:r>
          </w:p>
        </w:tc>
        <w:tc>
          <w:tcPr>
            <w:tcW w:w="1567" w:type="dxa"/>
            <w:vAlign w:val="center"/>
          </w:tcPr>
          <w:p w14:paraId="6831F3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加油区、油罐区</w:t>
            </w:r>
          </w:p>
        </w:tc>
      </w:tr>
      <w:tr w14:paraId="5DB9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79" w:type="dxa"/>
          </w:tcPr>
          <w:p w14:paraId="63DB76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7</w:t>
            </w:r>
          </w:p>
        </w:tc>
        <w:tc>
          <w:tcPr>
            <w:tcW w:w="2354" w:type="dxa"/>
            <w:vAlign w:val="center"/>
          </w:tcPr>
          <w:p w14:paraId="20C3F8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消防沙</w:t>
            </w:r>
          </w:p>
        </w:tc>
        <w:tc>
          <w:tcPr>
            <w:tcW w:w="1567" w:type="dxa"/>
            <w:vAlign w:val="center"/>
          </w:tcPr>
          <w:p w14:paraId="67C77F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w:t>
            </w:r>
          </w:p>
        </w:tc>
        <w:tc>
          <w:tcPr>
            <w:tcW w:w="1567" w:type="dxa"/>
            <w:vAlign w:val="center"/>
          </w:tcPr>
          <w:p w14:paraId="2FD8D2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m³</w:t>
            </w:r>
          </w:p>
        </w:tc>
        <w:tc>
          <w:tcPr>
            <w:tcW w:w="1567" w:type="dxa"/>
            <w:vAlign w:val="center"/>
          </w:tcPr>
          <w:p w14:paraId="0A7F92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2</w:t>
            </w:r>
          </w:p>
        </w:tc>
        <w:tc>
          <w:tcPr>
            <w:tcW w:w="1567" w:type="dxa"/>
            <w:vAlign w:val="center"/>
          </w:tcPr>
          <w:p w14:paraId="45FD2C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油罐区</w:t>
            </w:r>
          </w:p>
        </w:tc>
      </w:tr>
      <w:tr w14:paraId="2290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4371AD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8</w:t>
            </w:r>
          </w:p>
        </w:tc>
        <w:tc>
          <w:tcPr>
            <w:tcW w:w="2354" w:type="dxa"/>
          </w:tcPr>
          <w:p w14:paraId="1111DF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消防桶</w:t>
            </w:r>
          </w:p>
        </w:tc>
        <w:tc>
          <w:tcPr>
            <w:tcW w:w="1567" w:type="dxa"/>
          </w:tcPr>
          <w:p w14:paraId="0C2E2F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w:t>
            </w:r>
          </w:p>
        </w:tc>
        <w:tc>
          <w:tcPr>
            <w:tcW w:w="1567" w:type="dxa"/>
          </w:tcPr>
          <w:p w14:paraId="7EC9A2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支</w:t>
            </w:r>
          </w:p>
        </w:tc>
        <w:tc>
          <w:tcPr>
            <w:tcW w:w="1567" w:type="dxa"/>
          </w:tcPr>
          <w:p w14:paraId="1E34F7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4</w:t>
            </w:r>
          </w:p>
        </w:tc>
        <w:tc>
          <w:tcPr>
            <w:tcW w:w="1567" w:type="dxa"/>
          </w:tcPr>
          <w:p w14:paraId="63E59A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油罐区</w:t>
            </w:r>
          </w:p>
        </w:tc>
      </w:tr>
      <w:tr w14:paraId="7411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7157D3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9</w:t>
            </w:r>
          </w:p>
        </w:tc>
        <w:tc>
          <w:tcPr>
            <w:tcW w:w="2354" w:type="dxa"/>
          </w:tcPr>
          <w:p w14:paraId="73456E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消防铲</w:t>
            </w:r>
          </w:p>
        </w:tc>
        <w:tc>
          <w:tcPr>
            <w:tcW w:w="1567" w:type="dxa"/>
          </w:tcPr>
          <w:p w14:paraId="46DC1A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w:t>
            </w:r>
          </w:p>
        </w:tc>
        <w:tc>
          <w:tcPr>
            <w:tcW w:w="1567" w:type="dxa"/>
          </w:tcPr>
          <w:p w14:paraId="6434EE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把</w:t>
            </w:r>
          </w:p>
        </w:tc>
        <w:tc>
          <w:tcPr>
            <w:tcW w:w="1567" w:type="dxa"/>
          </w:tcPr>
          <w:p w14:paraId="690AF2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4</w:t>
            </w:r>
          </w:p>
        </w:tc>
        <w:tc>
          <w:tcPr>
            <w:tcW w:w="1567" w:type="dxa"/>
          </w:tcPr>
          <w:p w14:paraId="5262B3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油罐区</w:t>
            </w:r>
          </w:p>
        </w:tc>
      </w:tr>
      <w:tr w14:paraId="70C2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2EE8C1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10</w:t>
            </w:r>
          </w:p>
        </w:tc>
        <w:tc>
          <w:tcPr>
            <w:tcW w:w="2354" w:type="dxa"/>
          </w:tcPr>
          <w:p w14:paraId="45299B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医疗急救箱</w:t>
            </w:r>
          </w:p>
        </w:tc>
        <w:tc>
          <w:tcPr>
            <w:tcW w:w="1567" w:type="dxa"/>
          </w:tcPr>
          <w:p w14:paraId="3D7A4B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w:t>
            </w:r>
          </w:p>
        </w:tc>
        <w:tc>
          <w:tcPr>
            <w:tcW w:w="1567" w:type="dxa"/>
          </w:tcPr>
          <w:p w14:paraId="1B61BD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个</w:t>
            </w:r>
          </w:p>
        </w:tc>
        <w:tc>
          <w:tcPr>
            <w:tcW w:w="1567" w:type="dxa"/>
          </w:tcPr>
          <w:p w14:paraId="166084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1</w:t>
            </w:r>
          </w:p>
        </w:tc>
        <w:tc>
          <w:tcPr>
            <w:tcW w:w="1567" w:type="dxa"/>
          </w:tcPr>
          <w:p w14:paraId="20154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办公室</w:t>
            </w:r>
          </w:p>
        </w:tc>
      </w:tr>
      <w:tr w14:paraId="516D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Pr>
          <w:p w14:paraId="42CB0E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iCs w:val="0"/>
                <w:caps w:val="0"/>
                <w:spacing w:val="0"/>
                <w:sz w:val="24"/>
                <w:szCs w:val="24"/>
                <w:shd w:val="clear" w:fill="FFFFFF"/>
                <w:vertAlign w:val="baseline"/>
                <w:lang w:val="en-US" w:eastAsia="zh-CN"/>
              </w:rPr>
            </w:pPr>
            <w:r>
              <w:rPr>
                <w:rFonts w:hint="eastAsia" w:ascii="宋体" w:hAnsi="宋体" w:eastAsia="宋体" w:cs="宋体"/>
                <w:b w:val="0"/>
                <w:bCs w:val="0"/>
                <w:i w:val="0"/>
                <w:iCs w:val="0"/>
                <w:caps w:val="0"/>
                <w:spacing w:val="0"/>
                <w:sz w:val="24"/>
                <w:szCs w:val="24"/>
                <w:shd w:val="clear" w:fill="FFFFFF"/>
                <w:vertAlign w:val="baseline"/>
                <w:lang w:val="en-US" w:eastAsia="zh-CN"/>
              </w:rPr>
              <w:t>11</w:t>
            </w:r>
          </w:p>
        </w:tc>
        <w:tc>
          <w:tcPr>
            <w:tcW w:w="2354" w:type="dxa"/>
          </w:tcPr>
          <w:p w14:paraId="0FCA1A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安全帽</w:t>
            </w:r>
          </w:p>
        </w:tc>
        <w:tc>
          <w:tcPr>
            <w:tcW w:w="1567" w:type="dxa"/>
          </w:tcPr>
          <w:p w14:paraId="3D5EE6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3</w:t>
            </w:r>
          </w:p>
        </w:tc>
        <w:tc>
          <w:tcPr>
            <w:tcW w:w="1567" w:type="dxa"/>
          </w:tcPr>
          <w:p w14:paraId="6B0B58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顶</w:t>
            </w:r>
          </w:p>
        </w:tc>
        <w:tc>
          <w:tcPr>
            <w:tcW w:w="1567" w:type="dxa"/>
          </w:tcPr>
          <w:p w14:paraId="00CDA7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vertAlign w:val="baseline"/>
                <w:lang w:val="en-US" w:eastAsia="zh-CN"/>
              </w:rPr>
            </w:pPr>
            <w:r>
              <w:rPr>
                <w:rFonts w:hint="eastAsia" w:ascii="宋体" w:hAnsi="宋体" w:eastAsia="宋体" w:cs="宋体"/>
                <w:i w:val="0"/>
                <w:iCs w:val="0"/>
                <w:caps w:val="0"/>
                <w:spacing w:val="0"/>
                <w:sz w:val="24"/>
                <w:szCs w:val="24"/>
                <w:shd w:val="clear" w:fill="FFFFFF"/>
                <w:vertAlign w:val="baseline"/>
                <w:lang w:val="en-US" w:eastAsia="zh-CN"/>
              </w:rPr>
              <w:t>3</w:t>
            </w:r>
          </w:p>
        </w:tc>
        <w:tc>
          <w:tcPr>
            <w:tcW w:w="1567" w:type="dxa"/>
            <w:shd w:val="clear" w:color="auto" w:fill="auto"/>
            <w:vAlign w:val="top"/>
          </w:tcPr>
          <w:p w14:paraId="33CC56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kern w:val="2"/>
                <w:sz w:val="24"/>
                <w:szCs w:val="24"/>
                <w:shd w:val="clear" w:fill="FFFFFF"/>
                <w:vertAlign w:val="baseline"/>
                <w:lang w:val="en-US" w:eastAsia="zh-CN" w:bidi="ar-SA"/>
              </w:rPr>
            </w:pPr>
            <w:r>
              <w:rPr>
                <w:rFonts w:hint="eastAsia" w:ascii="宋体" w:hAnsi="宋体" w:eastAsia="宋体" w:cs="宋体"/>
                <w:i w:val="0"/>
                <w:iCs w:val="0"/>
                <w:caps w:val="0"/>
                <w:spacing w:val="0"/>
                <w:sz w:val="24"/>
                <w:szCs w:val="24"/>
                <w:shd w:val="clear" w:fill="FFFFFF"/>
                <w:vertAlign w:val="baseline"/>
                <w:lang w:val="en-US" w:eastAsia="zh-CN"/>
              </w:rPr>
              <w:t>油罐区</w:t>
            </w:r>
          </w:p>
        </w:tc>
      </w:tr>
    </w:tbl>
    <w:p w14:paraId="4B1E65B7">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43" w:name="_Toc20214"/>
      <w:bookmarkStart w:id="144" w:name="_Toc7141"/>
      <w:bookmarkStart w:id="145" w:name="_Toc31234"/>
      <w:bookmarkStart w:id="146" w:name="_Toc8093"/>
      <w:bookmarkStart w:id="147" w:name="_Toc30908"/>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.4视频监控</w:t>
      </w:r>
      <w:bookmarkEnd w:id="143"/>
      <w:bookmarkEnd w:id="144"/>
      <w:bookmarkEnd w:id="145"/>
      <w:bookmarkEnd w:id="146"/>
      <w:bookmarkEnd w:id="147"/>
    </w:p>
    <w:p w14:paraId="5084F850">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加油站在加油区、储油罐区内、进出口处均设置了视频监控探头</w:t>
      </w:r>
      <w:r>
        <w:rPr>
          <w:rFonts w:hint="eastAsia" w:ascii="宋体" w:hAnsi="宋体" w:eastAsia="宋体" w:cs="宋体"/>
          <w:color w:val="000000"/>
          <w:sz w:val="28"/>
          <w:szCs w:val="28"/>
          <w:lang w:val="en-US" w:eastAsia="zh-CN"/>
        </w:rPr>
        <w:t>共</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个</w:t>
      </w:r>
      <w:r>
        <w:rPr>
          <w:rFonts w:hint="eastAsia" w:ascii="宋体" w:hAnsi="宋体" w:eastAsia="宋体" w:cs="宋体"/>
          <w:color w:val="000000"/>
          <w:sz w:val="28"/>
          <w:szCs w:val="28"/>
        </w:rPr>
        <w:t>，在营业室内设置了视频监控显示屏。视频监控覆盖了加油站作业场所区域，储存时间为</w:t>
      </w:r>
      <w:r>
        <w:rPr>
          <w:rFonts w:hint="eastAsia" w:ascii="宋体" w:hAnsi="宋体" w:cs="宋体"/>
          <w:color w:val="000000"/>
          <w:sz w:val="28"/>
          <w:szCs w:val="28"/>
          <w:lang w:val="en-US" w:eastAsia="zh-CN"/>
        </w:rPr>
        <w:t>90</w:t>
      </w:r>
      <w:r>
        <w:rPr>
          <w:rFonts w:hint="eastAsia" w:ascii="宋体" w:hAnsi="宋体" w:eastAsia="宋体" w:cs="宋体"/>
          <w:color w:val="000000"/>
          <w:sz w:val="28"/>
          <w:szCs w:val="28"/>
        </w:rPr>
        <w:t>天。</w:t>
      </w:r>
    </w:p>
    <w:p w14:paraId="5DF68DD7">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48" w:name="_Toc5895"/>
      <w:bookmarkStart w:id="149" w:name="_Toc17457"/>
      <w:bookmarkStart w:id="150" w:name="_Toc13284"/>
      <w:bookmarkStart w:id="151" w:name="_Toc17124"/>
      <w:bookmarkStart w:id="152" w:name="_Toc31397"/>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.5公辅设施安全设施</w:t>
      </w:r>
      <w:bookmarkEnd w:id="148"/>
      <w:bookmarkEnd w:id="149"/>
      <w:bookmarkEnd w:id="150"/>
      <w:bookmarkEnd w:id="151"/>
      <w:bookmarkEnd w:id="152"/>
    </w:p>
    <w:p w14:paraId="55694FEB">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1、配电柜前地面设置绝缘垫，配电室设置了应急照明灯。</w:t>
      </w:r>
    </w:p>
    <w:p w14:paraId="4D37C5A1">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2、在配电房内配电箱内设置了断电总闸开关，可断开加油站外部供电电源。</w:t>
      </w:r>
    </w:p>
    <w:p w14:paraId="615E9549">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3、在加、卸油区设置了地面水收集沟，延至油水分离池，经分离隔油后排出站外排水沟。</w:t>
      </w:r>
    </w:p>
    <w:p w14:paraId="4F2B5601">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53" w:name="_Toc7832"/>
      <w:bookmarkStart w:id="154" w:name="_Toc16232"/>
      <w:bookmarkStart w:id="155" w:name="_Toc6599"/>
      <w:bookmarkStart w:id="156" w:name="_Toc8759"/>
      <w:bookmarkStart w:id="157" w:name="_Toc32448"/>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.6劳动防护用品</w:t>
      </w:r>
      <w:bookmarkEnd w:id="153"/>
      <w:bookmarkEnd w:id="154"/>
      <w:bookmarkEnd w:id="155"/>
      <w:bookmarkEnd w:id="156"/>
      <w:bookmarkEnd w:id="157"/>
    </w:p>
    <w:p w14:paraId="5BA3630E">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加油站为员工发放防静电工作服、手套等劳动防护用品，并监督使用。</w:t>
      </w:r>
    </w:p>
    <w:p w14:paraId="4DEA6498">
      <w:pPr>
        <w:pStyle w:val="3"/>
        <w:pageBreakBefore w:val="0"/>
        <w:widowControl w:val="0"/>
        <w:kinsoku/>
        <w:wordWrap/>
        <w:overflowPunct/>
        <w:topLinePunct w:val="0"/>
        <w:autoSpaceDE/>
        <w:autoSpaceDN/>
        <w:bidi w:val="0"/>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58" w:name="_Toc17927"/>
      <w:bookmarkStart w:id="159" w:name="_Toc16047"/>
      <w:bookmarkStart w:id="160" w:name="_Toc17911"/>
      <w:bookmarkStart w:id="161" w:name="_Toc31484"/>
      <w:bookmarkStart w:id="162" w:name="_Toc4361"/>
      <w:bookmarkStart w:id="163" w:name="_Toc4358"/>
      <w:bookmarkStart w:id="164" w:name="_Toc28079"/>
      <w:bookmarkStart w:id="165" w:name="_Toc1584"/>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6</w:t>
      </w:r>
      <w:r>
        <w:rPr>
          <w:rFonts w:hint="eastAsia" w:ascii="宋体" w:hAnsi="宋体" w:eastAsia="宋体" w:cs="宋体"/>
          <w:color w:val="000000"/>
          <w:kern w:val="3"/>
          <w:sz w:val="30"/>
          <w:szCs w:val="30"/>
        </w:rPr>
        <w:t>.7加油站安全投入情况</w:t>
      </w:r>
      <w:bookmarkEnd w:id="158"/>
      <w:bookmarkEnd w:id="159"/>
      <w:bookmarkEnd w:id="160"/>
      <w:bookmarkEnd w:id="161"/>
      <w:bookmarkEnd w:id="162"/>
    </w:p>
    <w:p w14:paraId="19E77F8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该加油站自</w:t>
      </w:r>
      <w:r>
        <w:rPr>
          <w:rFonts w:hint="eastAsia" w:ascii="宋体" w:hAnsi="宋体" w:eastAsia="宋体" w:cs="宋体"/>
          <w:color w:val="auto"/>
          <w:kern w:val="0"/>
          <w:sz w:val="28"/>
          <w:szCs w:val="28"/>
          <w:lang w:val="en-US" w:eastAsia="zh-CN"/>
        </w:rPr>
        <w:t>投入使用</w:t>
      </w:r>
      <w:r>
        <w:rPr>
          <w:rFonts w:hint="default" w:ascii="宋体" w:hAnsi="宋体" w:eastAsia="宋体" w:cs="宋体"/>
          <w:color w:val="auto"/>
          <w:kern w:val="0"/>
          <w:sz w:val="28"/>
          <w:szCs w:val="28"/>
          <w:lang w:val="en-US" w:eastAsia="zh-CN"/>
        </w:rPr>
        <w:t>以来，按照国家安全生产等法律法规要求进行生产，建立了安全生产经费使用和提取的管理制度，建立了投入使用资金的台账；能保障安全生产隐患整改的费用，能做到专款专用，以下是</w:t>
      </w:r>
      <w:r>
        <w:rPr>
          <w:rFonts w:hint="eastAsia" w:ascii="宋体" w:hAnsi="宋体" w:eastAsia="宋体" w:cs="宋体"/>
          <w:color w:val="auto"/>
          <w:kern w:val="0"/>
          <w:sz w:val="28"/>
          <w:szCs w:val="28"/>
          <w:lang w:val="en-US" w:eastAsia="zh-CN"/>
        </w:rPr>
        <w:t>202</w:t>
      </w:r>
      <w:r>
        <w:rPr>
          <w:rFonts w:hint="eastAsia" w:ascii="宋体" w:hAnsi="宋体" w:cs="宋体"/>
          <w:color w:val="auto"/>
          <w:kern w:val="0"/>
          <w:sz w:val="28"/>
          <w:szCs w:val="28"/>
          <w:lang w:val="en-US" w:eastAsia="zh-CN"/>
        </w:rPr>
        <w:t>5</w:t>
      </w:r>
      <w:r>
        <w:rPr>
          <w:rFonts w:hint="eastAsia" w:ascii="宋体" w:hAnsi="宋体" w:eastAsia="宋体" w:cs="宋体"/>
          <w:color w:val="auto"/>
          <w:kern w:val="0"/>
          <w:sz w:val="28"/>
          <w:szCs w:val="28"/>
          <w:lang w:val="en-US" w:eastAsia="zh-CN"/>
        </w:rPr>
        <w:t>年1月至202</w:t>
      </w:r>
      <w:r>
        <w:rPr>
          <w:rFonts w:hint="eastAsia" w:ascii="宋体" w:hAnsi="宋体" w:cs="宋体"/>
          <w:color w:val="auto"/>
          <w:kern w:val="0"/>
          <w:sz w:val="28"/>
          <w:szCs w:val="28"/>
          <w:lang w:val="en-US" w:eastAsia="zh-CN"/>
        </w:rPr>
        <w:t>5</w:t>
      </w:r>
      <w:r>
        <w:rPr>
          <w:rFonts w:hint="eastAsia" w:ascii="宋体" w:hAnsi="宋体" w:eastAsia="宋体" w:cs="宋体"/>
          <w:color w:val="auto"/>
          <w:kern w:val="0"/>
          <w:sz w:val="28"/>
          <w:szCs w:val="28"/>
          <w:lang w:val="en-US" w:eastAsia="zh-CN"/>
        </w:rPr>
        <w:t>年</w:t>
      </w:r>
      <w:r>
        <w:rPr>
          <w:rFonts w:hint="eastAsia" w:ascii="宋体" w:hAnsi="宋体" w:cs="宋体"/>
          <w:color w:val="auto"/>
          <w:kern w:val="0"/>
          <w:sz w:val="28"/>
          <w:szCs w:val="28"/>
          <w:lang w:val="en-US" w:eastAsia="zh-CN"/>
        </w:rPr>
        <w:t>6</w:t>
      </w:r>
      <w:r>
        <w:rPr>
          <w:rFonts w:hint="eastAsia" w:ascii="宋体" w:hAnsi="宋体" w:eastAsia="宋体" w:cs="宋体"/>
          <w:color w:val="auto"/>
          <w:kern w:val="0"/>
          <w:sz w:val="28"/>
          <w:szCs w:val="28"/>
          <w:lang w:val="en-US" w:eastAsia="zh-CN"/>
        </w:rPr>
        <w:t>月</w:t>
      </w:r>
      <w:r>
        <w:rPr>
          <w:rFonts w:hint="default" w:ascii="宋体" w:hAnsi="宋体" w:eastAsia="宋体" w:cs="宋体"/>
          <w:color w:val="auto"/>
          <w:kern w:val="0"/>
          <w:sz w:val="28"/>
          <w:szCs w:val="28"/>
          <w:lang w:val="en-US" w:eastAsia="zh-CN"/>
        </w:rPr>
        <w:t>安全生产投入。</w:t>
      </w:r>
    </w:p>
    <w:p w14:paraId="6A340AC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center"/>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表</w:t>
      </w:r>
      <w:r>
        <w:rPr>
          <w:rFonts w:hint="eastAsia" w:ascii="宋体" w:hAnsi="宋体" w:eastAsia="宋体" w:cs="宋体"/>
          <w:color w:val="auto"/>
          <w:kern w:val="0"/>
          <w:sz w:val="28"/>
          <w:szCs w:val="28"/>
          <w:lang w:val="en-US" w:eastAsia="zh-CN"/>
        </w:rPr>
        <w:t>2-</w:t>
      </w:r>
      <w:r>
        <w:rPr>
          <w:rFonts w:hint="eastAsia" w:ascii="宋体" w:hAnsi="宋体" w:cs="宋体"/>
          <w:color w:val="auto"/>
          <w:kern w:val="0"/>
          <w:sz w:val="28"/>
          <w:szCs w:val="28"/>
          <w:lang w:val="en-US" w:eastAsia="zh-CN"/>
        </w:rPr>
        <w:t>5</w:t>
      </w:r>
      <w:r>
        <w:rPr>
          <w:rFonts w:hint="default" w:ascii="宋体" w:hAnsi="宋体" w:eastAsia="宋体" w:cs="宋体"/>
          <w:color w:val="auto"/>
          <w:kern w:val="0"/>
          <w:sz w:val="28"/>
          <w:szCs w:val="28"/>
          <w:lang w:val="en-US" w:eastAsia="zh-CN"/>
        </w:rPr>
        <w:t>安全投入一览表</w:t>
      </w:r>
    </w:p>
    <w:tbl>
      <w:tblPr>
        <w:tblStyle w:val="41"/>
        <w:tblW w:w="94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4"/>
        <w:gridCol w:w="2158"/>
        <w:gridCol w:w="1762"/>
        <w:gridCol w:w="2490"/>
      </w:tblGrid>
      <w:tr w14:paraId="0F4B6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restart"/>
            <w:vAlign w:val="center"/>
          </w:tcPr>
          <w:p w14:paraId="0F0491DB">
            <w:pPr>
              <w:bidi w:val="0"/>
              <w:jc w:val="center"/>
              <w:rPr>
                <w:rFonts w:hint="default"/>
                <w:color w:val="auto"/>
                <w:lang w:val="en-US" w:eastAsia="zh-CN"/>
              </w:rPr>
            </w:pPr>
            <w:r>
              <w:rPr>
                <w:rFonts w:hint="eastAsia"/>
                <w:b/>
                <w:bCs/>
                <w:color w:val="auto"/>
                <w:lang w:val="en-US" w:eastAsia="zh-CN"/>
              </w:rPr>
              <w:t>安全防护设施、设备完善、改造、维护</w:t>
            </w:r>
          </w:p>
        </w:tc>
        <w:tc>
          <w:tcPr>
            <w:tcW w:w="2158" w:type="dxa"/>
            <w:vAlign w:val="center"/>
          </w:tcPr>
          <w:p w14:paraId="28FEE993">
            <w:pPr>
              <w:bidi w:val="0"/>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项目</w:t>
            </w:r>
          </w:p>
        </w:tc>
        <w:tc>
          <w:tcPr>
            <w:tcW w:w="1762" w:type="dxa"/>
            <w:vAlign w:val="center"/>
          </w:tcPr>
          <w:p w14:paraId="7CCB395D">
            <w:pPr>
              <w:bidi w:val="0"/>
              <w:jc w:val="center"/>
              <w:rPr>
                <w:rFonts w:hint="eastAsia" w:ascii="宋体" w:hAnsi="宋体" w:eastAsia="宋体" w:cs="宋体"/>
                <w:b/>
                <w:bCs/>
                <w:color w:val="auto"/>
                <w:lang w:val="en-US" w:eastAsia="zh-CN"/>
              </w:rPr>
            </w:pPr>
            <w:r>
              <w:rPr>
                <w:rFonts w:hint="eastAsia" w:ascii="宋体" w:hAnsi="宋体" w:eastAsia="宋体" w:cs="宋体"/>
                <w:b/>
                <w:bCs/>
                <w:color w:val="auto"/>
              </w:rPr>
              <w:t>金额/元</w:t>
            </w:r>
          </w:p>
        </w:tc>
        <w:tc>
          <w:tcPr>
            <w:tcW w:w="2490" w:type="dxa"/>
            <w:vAlign w:val="center"/>
          </w:tcPr>
          <w:p w14:paraId="072CA024">
            <w:pPr>
              <w:bidi w:val="0"/>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备注</w:t>
            </w:r>
          </w:p>
        </w:tc>
      </w:tr>
      <w:tr w14:paraId="36EAD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continue"/>
            <w:vAlign w:val="center"/>
          </w:tcPr>
          <w:p w14:paraId="25163065">
            <w:pPr>
              <w:bidi w:val="0"/>
              <w:jc w:val="both"/>
              <w:rPr>
                <w:rFonts w:hint="default"/>
                <w:color w:val="auto"/>
                <w:lang w:val="en-US" w:eastAsia="zh-CN"/>
              </w:rPr>
            </w:pPr>
          </w:p>
        </w:tc>
        <w:tc>
          <w:tcPr>
            <w:tcW w:w="2158" w:type="dxa"/>
            <w:vAlign w:val="center"/>
          </w:tcPr>
          <w:p w14:paraId="0DAF3EC4">
            <w:pPr>
              <w:bidi w:val="0"/>
              <w:jc w:val="center"/>
              <w:rPr>
                <w:rFonts w:hint="default"/>
                <w:color w:val="auto"/>
                <w:lang w:val="en-US" w:eastAsia="zh-CN"/>
              </w:rPr>
            </w:pPr>
            <w:r>
              <w:rPr>
                <w:rFonts w:hint="eastAsia"/>
                <w:color w:val="auto"/>
                <w:lang w:val="en-US" w:eastAsia="zh-CN"/>
              </w:rPr>
              <w:t>防晒</w:t>
            </w:r>
          </w:p>
        </w:tc>
        <w:tc>
          <w:tcPr>
            <w:tcW w:w="1762" w:type="dxa"/>
            <w:vAlign w:val="center"/>
          </w:tcPr>
          <w:p w14:paraId="50569FDD">
            <w:pPr>
              <w:bidi w:val="0"/>
              <w:jc w:val="center"/>
              <w:rPr>
                <w:rFonts w:hint="default"/>
                <w:color w:val="auto"/>
                <w:lang w:val="en-US" w:eastAsia="zh-CN"/>
              </w:rPr>
            </w:pPr>
            <w:r>
              <w:rPr>
                <w:rFonts w:hint="eastAsia"/>
                <w:color w:val="auto"/>
                <w:lang w:val="en-US" w:eastAsia="zh-CN"/>
              </w:rPr>
              <w:t>700</w:t>
            </w:r>
          </w:p>
        </w:tc>
        <w:tc>
          <w:tcPr>
            <w:tcW w:w="2490" w:type="dxa"/>
            <w:vAlign w:val="center"/>
          </w:tcPr>
          <w:p w14:paraId="437A1DC1">
            <w:pPr>
              <w:bidi w:val="0"/>
              <w:jc w:val="center"/>
              <w:rPr>
                <w:color w:val="auto"/>
              </w:rPr>
            </w:pPr>
          </w:p>
        </w:tc>
      </w:tr>
      <w:tr w14:paraId="31C6D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continue"/>
            <w:vAlign w:val="center"/>
          </w:tcPr>
          <w:p w14:paraId="5FAAA114">
            <w:pPr>
              <w:bidi w:val="0"/>
              <w:jc w:val="both"/>
              <w:rPr>
                <w:rFonts w:hint="eastAsia"/>
                <w:color w:val="auto"/>
                <w:lang w:val="en-US" w:eastAsia="zh-CN"/>
              </w:rPr>
            </w:pPr>
          </w:p>
        </w:tc>
        <w:tc>
          <w:tcPr>
            <w:tcW w:w="2158" w:type="dxa"/>
            <w:vAlign w:val="center"/>
          </w:tcPr>
          <w:p w14:paraId="2E9731DE">
            <w:pPr>
              <w:bidi w:val="0"/>
              <w:jc w:val="center"/>
              <w:rPr>
                <w:rFonts w:hint="default"/>
                <w:color w:val="auto"/>
                <w:lang w:val="en-US" w:eastAsia="zh-CN"/>
              </w:rPr>
            </w:pPr>
            <w:r>
              <w:rPr>
                <w:rFonts w:hint="eastAsia"/>
                <w:color w:val="auto"/>
                <w:lang w:val="en-US" w:eastAsia="zh-CN"/>
              </w:rPr>
              <w:t>灭火</w:t>
            </w:r>
          </w:p>
        </w:tc>
        <w:tc>
          <w:tcPr>
            <w:tcW w:w="1762" w:type="dxa"/>
            <w:vAlign w:val="center"/>
          </w:tcPr>
          <w:p w14:paraId="08ACA6DE">
            <w:pPr>
              <w:bidi w:val="0"/>
              <w:jc w:val="center"/>
              <w:rPr>
                <w:rFonts w:hint="default"/>
                <w:color w:val="auto"/>
                <w:lang w:val="en-US" w:eastAsia="zh-CN"/>
              </w:rPr>
            </w:pPr>
            <w:r>
              <w:rPr>
                <w:rFonts w:hint="eastAsia"/>
                <w:color w:val="auto"/>
                <w:lang w:val="en-US" w:eastAsia="zh-CN"/>
              </w:rPr>
              <w:t>920</w:t>
            </w:r>
          </w:p>
        </w:tc>
        <w:tc>
          <w:tcPr>
            <w:tcW w:w="2490" w:type="dxa"/>
            <w:vAlign w:val="center"/>
          </w:tcPr>
          <w:p w14:paraId="1941AD3D">
            <w:pPr>
              <w:bidi w:val="0"/>
              <w:jc w:val="center"/>
              <w:rPr>
                <w:color w:val="auto"/>
              </w:rPr>
            </w:pPr>
          </w:p>
        </w:tc>
      </w:tr>
      <w:tr w14:paraId="55288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continue"/>
            <w:vAlign w:val="center"/>
          </w:tcPr>
          <w:p w14:paraId="22B93C7D">
            <w:pPr>
              <w:bidi w:val="0"/>
              <w:jc w:val="both"/>
              <w:rPr>
                <w:rFonts w:hint="eastAsia"/>
                <w:color w:val="auto"/>
                <w:lang w:val="en-US" w:eastAsia="zh-CN"/>
              </w:rPr>
            </w:pPr>
          </w:p>
        </w:tc>
        <w:tc>
          <w:tcPr>
            <w:tcW w:w="2158" w:type="dxa"/>
            <w:vAlign w:val="center"/>
          </w:tcPr>
          <w:p w14:paraId="6EC893D7">
            <w:pPr>
              <w:bidi w:val="0"/>
              <w:jc w:val="center"/>
              <w:rPr>
                <w:rFonts w:hint="default"/>
                <w:color w:val="auto"/>
                <w:lang w:val="en-US" w:eastAsia="zh-CN"/>
              </w:rPr>
            </w:pPr>
            <w:r>
              <w:rPr>
                <w:rFonts w:hint="eastAsia"/>
                <w:color w:val="auto"/>
                <w:lang w:val="en-US" w:eastAsia="zh-CN"/>
              </w:rPr>
              <w:t>防爆</w:t>
            </w:r>
          </w:p>
        </w:tc>
        <w:tc>
          <w:tcPr>
            <w:tcW w:w="1762" w:type="dxa"/>
            <w:vAlign w:val="center"/>
          </w:tcPr>
          <w:p w14:paraId="497A2C15">
            <w:pPr>
              <w:bidi w:val="0"/>
              <w:jc w:val="center"/>
              <w:rPr>
                <w:rFonts w:hint="default"/>
                <w:color w:val="auto"/>
                <w:lang w:val="en-US" w:eastAsia="zh-CN"/>
              </w:rPr>
            </w:pPr>
            <w:r>
              <w:rPr>
                <w:rFonts w:hint="eastAsia"/>
                <w:color w:val="auto"/>
                <w:lang w:val="en-US" w:eastAsia="zh-CN"/>
              </w:rPr>
              <w:t>1300</w:t>
            </w:r>
          </w:p>
        </w:tc>
        <w:tc>
          <w:tcPr>
            <w:tcW w:w="2490" w:type="dxa"/>
            <w:vAlign w:val="center"/>
          </w:tcPr>
          <w:p w14:paraId="2DAD5F17">
            <w:pPr>
              <w:bidi w:val="0"/>
              <w:jc w:val="center"/>
              <w:rPr>
                <w:color w:val="auto"/>
              </w:rPr>
            </w:pPr>
          </w:p>
        </w:tc>
      </w:tr>
      <w:tr w14:paraId="506B5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 w:hRule="atLeast"/>
        </w:trPr>
        <w:tc>
          <w:tcPr>
            <w:tcW w:w="2994" w:type="dxa"/>
            <w:vMerge w:val="continue"/>
            <w:vAlign w:val="center"/>
          </w:tcPr>
          <w:p w14:paraId="78FC3EC1">
            <w:pPr>
              <w:bidi w:val="0"/>
              <w:jc w:val="both"/>
              <w:rPr>
                <w:rFonts w:hint="eastAsia"/>
                <w:color w:val="auto"/>
                <w:lang w:val="en-US" w:eastAsia="zh-CN"/>
              </w:rPr>
            </w:pPr>
          </w:p>
        </w:tc>
        <w:tc>
          <w:tcPr>
            <w:tcW w:w="2158" w:type="dxa"/>
            <w:vAlign w:val="center"/>
          </w:tcPr>
          <w:p w14:paraId="063FF2B3">
            <w:pPr>
              <w:bidi w:val="0"/>
              <w:jc w:val="center"/>
              <w:rPr>
                <w:rFonts w:hint="default"/>
                <w:color w:val="auto"/>
                <w:lang w:val="en-US" w:eastAsia="zh-CN"/>
              </w:rPr>
            </w:pPr>
            <w:r>
              <w:rPr>
                <w:rFonts w:hint="eastAsia"/>
                <w:color w:val="auto"/>
                <w:lang w:val="en-US" w:eastAsia="zh-CN"/>
              </w:rPr>
              <w:t>防毒</w:t>
            </w:r>
          </w:p>
        </w:tc>
        <w:tc>
          <w:tcPr>
            <w:tcW w:w="1762" w:type="dxa"/>
            <w:vAlign w:val="center"/>
          </w:tcPr>
          <w:p w14:paraId="3E67C7E2">
            <w:pPr>
              <w:bidi w:val="0"/>
              <w:jc w:val="center"/>
              <w:rPr>
                <w:rFonts w:hint="default"/>
                <w:color w:val="auto"/>
                <w:lang w:val="en-US" w:eastAsia="zh-CN"/>
              </w:rPr>
            </w:pPr>
            <w:r>
              <w:rPr>
                <w:rFonts w:hint="eastAsia"/>
                <w:color w:val="auto"/>
                <w:lang w:val="en-US" w:eastAsia="zh-CN"/>
              </w:rPr>
              <w:t>700</w:t>
            </w:r>
          </w:p>
        </w:tc>
        <w:tc>
          <w:tcPr>
            <w:tcW w:w="2490" w:type="dxa"/>
            <w:vAlign w:val="center"/>
          </w:tcPr>
          <w:p w14:paraId="4D9BEE42">
            <w:pPr>
              <w:bidi w:val="0"/>
              <w:jc w:val="center"/>
              <w:rPr>
                <w:color w:val="auto"/>
              </w:rPr>
            </w:pPr>
          </w:p>
        </w:tc>
      </w:tr>
      <w:tr w14:paraId="7F648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continue"/>
            <w:vAlign w:val="center"/>
          </w:tcPr>
          <w:p w14:paraId="16255F8B">
            <w:pPr>
              <w:bidi w:val="0"/>
              <w:jc w:val="both"/>
              <w:rPr>
                <w:rFonts w:hint="eastAsia"/>
                <w:color w:val="auto"/>
                <w:lang w:val="en-US" w:eastAsia="zh-CN"/>
              </w:rPr>
            </w:pPr>
          </w:p>
        </w:tc>
        <w:tc>
          <w:tcPr>
            <w:tcW w:w="2158" w:type="dxa"/>
            <w:vAlign w:val="center"/>
          </w:tcPr>
          <w:p w14:paraId="12C915BD">
            <w:pPr>
              <w:bidi w:val="0"/>
              <w:jc w:val="center"/>
              <w:rPr>
                <w:rFonts w:hint="default"/>
                <w:color w:val="auto"/>
                <w:lang w:val="en-US" w:eastAsia="zh-CN"/>
              </w:rPr>
            </w:pPr>
            <w:r>
              <w:rPr>
                <w:rFonts w:hint="eastAsia"/>
                <w:color w:val="auto"/>
                <w:lang w:val="en-US" w:eastAsia="zh-CN"/>
              </w:rPr>
              <w:t>消毒</w:t>
            </w:r>
          </w:p>
        </w:tc>
        <w:tc>
          <w:tcPr>
            <w:tcW w:w="1762" w:type="dxa"/>
            <w:vAlign w:val="center"/>
          </w:tcPr>
          <w:p w14:paraId="455D2D84">
            <w:pPr>
              <w:bidi w:val="0"/>
              <w:jc w:val="center"/>
              <w:rPr>
                <w:rFonts w:hint="default"/>
                <w:color w:val="auto"/>
                <w:lang w:val="en-US" w:eastAsia="zh-CN"/>
              </w:rPr>
            </w:pPr>
            <w:r>
              <w:rPr>
                <w:rFonts w:hint="eastAsia"/>
                <w:color w:val="auto"/>
                <w:lang w:val="en-US" w:eastAsia="zh-CN"/>
              </w:rPr>
              <w:t>440</w:t>
            </w:r>
          </w:p>
        </w:tc>
        <w:tc>
          <w:tcPr>
            <w:tcW w:w="2490" w:type="dxa"/>
            <w:vAlign w:val="center"/>
          </w:tcPr>
          <w:p w14:paraId="440FCB89">
            <w:pPr>
              <w:bidi w:val="0"/>
              <w:jc w:val="center"/>
              <w:rPr>
                <w:color w:val="auto"/>
              </w:rPr>
            </w:pPr>
          </w:p>
        </w:tc>
      </w:tr>
      <w:tr w14:paraId="10213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994" w:type="dxa"/>
            <w:vMerge w:val="continue"/>
            <w:vAlign w:val="center"/>
          </w:tcPr>
          <w:p w14:paraId="1AF5557A">
            <w:pPr>
              <w:bidi w:val="0"/>
              <w:jc w:val="both"/>
              <w:rPr>
                <w:rFonts w:hint="eastAsia"/>
                <w:color w:val="auto"/>
                <w:lang w:val="en-US" w:eastAsia="zh-CN"/>
              </w:rPr>
            </w:pPr>
          </w:p>
        </w:tc>
        <w:tc>
          <w:tcPr>
            <w:tcW w:w="2158" w:type="dxa"/>
            <w:vAlign w:val="center"/>
          </w:tcPr>
          <w:p w14:paraId="7601E157">
            <w:pPr>
              <w:bidi w:val="0"/>
              <w:jc w:val="center"/>
              <w:rPr>
                <w:rFonts w:hint="default"/>
                <w:color w:val="auto"/>
                <w:lang w:val="en-US" w:eastAsia="zh-CN"/>
              </w:rPr>
            </w:pPr>
            <w:r>
              <w:rPr>
                <w:rFonts w:hint="eastAsia"/>
                <w:color w:val="auto"/>
                <w:lang w:val="en-US" w:eastAsia="zh-CN"/>
              </w:rPr>
              <w:t>防静电</w:t>
            </w:r>
          </w:p>
        </w:tc>
        <w:tc>
          <w:tcPr>
            <w:tcW w:w="1762" w:type="dxa"/>
            <w:vAlign w:val="center"/>
          </w:tcPr>
          <w:p w14:paraId="503EDE08">
            <w:pPr>
              <w:bidi w:val="0"/>
              <w:jc w:val="center"/>
              <w:rPr>
                <w:rFonts w:hint="default"/>
                <w:color w:val="auto"/>
                <w:lang w:val="en-US" w:eastAsia="zh-CN"/>
              </w:rPr>
            </w:pPr>
            <w:r>
              <w:rPr>
                <w:rFonts w:hint="eastAsia"/>
                <w:color w:val="auto"/>
                <w:lang w:val="en-US" w:eastAsia="zh-CN"/>
              </w:rPr>
              <w:t>1140</w:t>
            </w:r>
          </w:p>
        </w:tc>
        <w:tc>
          <w:tcPr>
            <w:tcW w:w="2490" w:type="dxa"/>
            <w:vAlign w:val="center"/>
          </w:tcPr>
          <w:p w14:paraId="12F90D8B">
            <w:pPr>
              <w:bidi w:val="0"/>
              <w:jc w:val="center"/>
              <w:rPr>
                <w:color w:val="auto"/>
              </w:rPr>
            </w:pPr>
          </w:p>
        </w:tc>
      </w:tr>
      <w:tr w14:paraId="254E4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5152" w:type="dxa"/>
            <w:gridSpan w:val="2"/>
            <w:vAlign w:val="center"/>
          </w:tcPr>
          <w:p w14:paraId="26F4BCAB">
            <w:pPr>
              <w:bidi w:val="0"/>
              <w:jc w:val="center"/>
              <w:rPr>
                <w:rFonts w:hint="default"/>
                <w:b/>
                <w:bCs/>
                <w:color w:val="auto"/>
                <w:lang w:val="en-US" w:eastAsia="zh-CN"/>
              </w:rPr>
            </w:pPr>
            <w:r>
              <w:rPr>
                <w:rFonts w:hint="eastAsia"/>
                <w:b/>
                <w:bCs/>
                <w:color w:val="auto"/>
                <w:lang w:val="en-US" w:eastAsia="zh-CN"/>
              </w:rPr>
              <w:t>安全生产检查支出</w:t>
            </w:r>
          </w:p>
        </w:tc>
        <w:tc>
          <w:tcPr>
            <w:tcW w:w="1762" w:type="dxa"/>
            <w:vAlign w:val="center"/>
          </w:tcPr>
          <w:p w14:paraId="4D0CD6FD">
            <w:pPr>
              <w:bidi w:val="0"/>
              <w:jc w:val="center"/>
              <w:rPr>
                <w:rFonts w:hint="default"/>
                <w:color w:val="auto"/>
                <w:lang w:val="en-US" w:eastAsia="zh-CN"/>
              </w:rPr>
            </w:pPr>
            <w:r>
              <w:rPr>
                <w:rFonts w:hint="eastAsia"/>
                <w:color w:val="auto"/>
                <w:lang w:val="en-US" w:eastAsia="zh-CN"/>
              </w:rPr>
              <w:t>500</w:t>
            </w:r>
          </w:p>
        </w:tc>
        <w:tc>
          <w:tcPr>
            <w:tcW w:w="2490" w:type="dxa"/>
            <w:vAlign w:val="center"/>
          </w:tcPr>
          <w:p w14:paraId="50DBDAC8">
            <w:pPr>
              <w:bidi w:val="0"/>
              <w:jc w:val="center"/>
              <w:rPr>
                <w:color w:val="auto"/>
              </w:rPr>
            </w:pPr>
          </w:p>
        </w:tc>
      </w:tr>
      <w:tr w14:paraId="0B3C3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5152" w:type="dxa"/>
            <w:gridSpan w:val="2"/>
            <w:vAlign w:val="center"/>
          </w:tcPr>
          <w:p w14:paraId="1C195E86">
            <w:pPr>
              <w:bidi w:val="0"/>
              <w:jc w:val="center"/>
              <w:rPr>
                <w:rFonts w:hint="default"/>
                <w:b/>
                <w:bCs/>
                <w:color w:val="auto"/>
                <w:lang w:val="en-US" w:eastAsia="zh-CN"/>
              </w:rPr>
            </w:pPr>
            <w:r>
              <w:rPr>
                <w:rFonts w:hint="eastAsia"/>
                <w:b/>
                <w:bCs/>
                <w:color w:val="auto"/>
                <w:lang w:val="en-US" w:eastAsia="zh-CN"/>
              </w:rPr>
              <w:t>安全生产评价、咨询支出</w:t>
            </w:r>
          </w:p>
        </w:tc>
        <w:tc>
          <w:tcPr>
            <w:tcW w:w="1762" w:type="dxa"/>
            <w:vAlign w:val="center"/>
          </w:tcPr>
          <w:p w14:paraId="4A9DD2FC">
            <w:pPr>
              <w:bidi w:val="0"/>
              <w:jc w:val="center"/>
              <w:rPr>
                <w:rFonts w:hint="default"/>
                <w:color w:val="auto"/>
                <w:lang w:val="en-US" w:eastAsia="zh-CN"/>
              </w:rPr>
            </w:pPr>
            <w:r>
              <w:rPr>
                <w:rFonts w:hint="eastAsia"/>
                <w:color w:val="auto"/>
                <w:lang w:val="en-US" w:eastAsia="zh-CN"/>
              </w:rPr>
              <w:t>800</w:t>
            </w:r>
          </w:p>
        </w:tc>
        <w:tc>
          <w:tcPr>
            <w:tcW w:w="2490" w:type="dxa"/>
            <w:vAlign w:val="center"/>
          </w:tcPr>
          <w:p w14:paraId="611FBC89">
            <w:pPr>
              <w:bidi w:val="0"/>
              <w:jc w:val="center"/>
              <w:rPr>
                <w:color w:val="auto"/>
              </w:rPr>
            </w:pPr>
          </w:p>
        </w:tc>
      </w:tr>
      <w:tr w14:paraId="633AA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5152" w:type="dxa"/>
            <w:gridSpan w:val="2"/>
            <w:vAlign w:val="center"/>
          </w:tcPr>
          <w:p w14:paraId="1FE08283">
            <w:pPr>
              <w:bidi w:val="0"/>
              <w:jc w:val="center"/>
              <w:rPr>
                <w:rFonts w:hint="eastAsia"/>
                <w:color w:val="auto"/>
                <w:lang w:val="en-US" w:eastAsia="zh-CN"/>
              </w:rPr>
            </w:pPr>
            <w:r>
              <w:rPr>
                <w:rFonts w:hint="eastAsia"/>
                <w:b/>
                <w:bCs/>
                <w:color w:val="auto"/>
                <w:lang w:val="en-US" w:eastAsia="zh-CN"/>
              </w:rPr>
              <w:t>合计</w:t>
            </w:r>
          </w:p>
        </w:tc>
        <w:tc>
          <w:tcPr>
            <w:tcW w:w="1762" w:type="dxa"/>
            <w:vAlign w:val="center"/>
          </w:tcPr>
          <w:p w14:paraId="062FD0E0">
            <w:pPr>
              <w:bidi w:val="0"/>
              <w:jc w:val="center"/>
              <w:rPr>
                <w:rFonts w:hint="default"/>
                <w:color w:val="auto"/>
                <w:lang w:val="en-US" w:eastAsia="zh-CN"/>
              </w:rPr>
            </w:pPr>
            <w:r>
              <w:rPr>
                <w:rFonts w:hint="eastAsia"/>
                <w:color w:val="auto"/>
                <w:lang w:val="en-US" w:eastAsia="zh-CN"/>
              </w:rPr>
              <w:t>6500</w:t>
            </w:r>
          </w:p>
        </w:tc>
        <w:tc>
          <w:tcPr>
            <w:tcW w:w="2490" w:type="dxa"/>
            <w:vAlign w:val="center"/>
          </w:tcPr>
          <w:p w14:paraId="63B9B32C">
            <w:pPr>
              <w:bidi w:val="0"/>
              <w:jc w:val="center"/>
              <w:rPr>
                <w:color w:val="auto"/>
              </w:rPr>
            </w:pPr>
          </w:p>
        </w:tc>
      </w:tr>
    </w:tbl>
    <w:p w14:paraId="58FA0E21">
      <w:pPr>
        <w:pStyle w:val="3"/>
        <w:keepNext/>
        <w:keepLines/>
        <w:pageBreakBefore w:val="0"/>
        <w:widowControl w:val="0"/>
        <w:kinsoku/>
        <w:wordWrap/>
        <w:overflowPunct/>
        <w:topLinePunct w:val="0"/>
        <w:autoSpaceDE/>
        <w:autoSpaceDN/>
        <w:bidi w:val="0"/>
        <w:adjustRightInd/>
        <w:snapToGrid/>
        <w:spacing w:before="0" w:beforeLines="0" w:after="0" w:afterLines="0" w:line="600" w:lineRule="exact"/>
        <w:jc w:val="left"/>
        <w:textAlignment w:val="auto"/>
        <w:rPr>
          <w:rFonts w:hint="eastAsia" w:ascii="宋体" w:hAnsi="宋体" w:eastAsia="宋体" w:cs="宋体"/>
          <w:color w:val="000000"/>
          <w:kern w:val="3"/>
          <w:sz w:val="32"/>
          <w:szCs w:val="32"/>
        </w:rPr>
      </w:pPr>
      <w:bookmarkStart w:id="166" w:name="_Toc16205"/>
      <w:r>
        <w:rPr>
          <w:rFonts w:hint="eastAsia" w:ascii="宋体" w:hAnsi="宋体" w:eastAsia="宋体" w:cs="宋体"/>
          <w:color w:val="000000"/>
          <w:kern w:val="3"/>
          <w:sz w:val="32"/>
          <w:szCs w:val="32"/>
        </w:rPr>
        <w:t>2.</w:t>
      </w:r>
      <w:r>
        <w:rPr>
          <w:rFonts w:hint="eastAsia" w:ascii="宋体" w:hAnsi="宋体" w:eastAsia="宋体" w:cs="宋体"/>
          <w:color w:val="000000"/>
          <w:kern w:val="3"/>
          <w:sz w:val="32"/>
          <w:szCs w:val="32"/>
          <w:lang w:val="en-US" w:eastAsia="zh-CN"/>
        </w:rPr>
        <w:t>7</w:t>
      </w:r>
      <w:r>
        <w:rPr>
          <w:rFonts w:hint="eastAsia" w:ascii="宋体" w:hAnsi="宋体" w:eastAsia="宋体" w:cs="宋体"/>
          <w:color w:val="000000"/>
          <w:kern w:val="3"/>
          <w:sz w:val="32"/>
          <w:szCs w:val="32"/>
        </w:rPr>
        <w:t>安全管理组织及制度</w:t>
      </w:r>
      <w:bookmarkEnd w:id="163"/>
      <w:bookmarkEnd w:id="164"/>
      <w:bookmarkEnd w:id="165"/>
      <w:bookmarkEnd w:id="166"/>
    </w:p>
    <w:p w14:paraId="3FD85124">
      <w:pPr>
        <w:pStyle w:val="3"/>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67" w:name="_Toc24809"/>
      <w:bookmarkStart w:id="168" w:name="_Toc6801"/>
      <w:bookmarkStart w:id="169" w:name="_Toc602"/>
      <w:bookmarkStart w:id="170" w:name="_Toc12312"/>
      <w:bookmarkStart w:id="171" w:name="_Toc174"/>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7</w:t>
      </w:r>
      <w:r>
        <w:rPr>
          <w:rFonts w:hint="eastAsia" w:ascii="宋体" w:hAnsi="宋体" w:eastAsia="宋体" w:cs="宋体"/>
          <w:color w:val="000000"/>
          <w:kern w:val="3"/>
          <w:sz w:val="30"/>
          <w:szCs w:val="30"/>
        </w:rPr>
        <w:t>.1工作制度与劳动定员</w:t>
      </w:r>
      <w:bookmarkEnd w:id="167"/>
      <w:bookmarkEnd w:id="168"/>
      <w:bookmarkEnd w:id="169"/>
      <w:bookmarkEnd w:id="170"/>
      <w:bookmarkEnd w:id="171"/>
    </w:p>
    <w:p w14:paraId="02932261">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000000"/>
          <w:sz w:val="28"/>
          <w:szCs w:val="28"/>
        </w:rPr>
      </w:pPr>
      <w:r>
        <w:rPr>
          <w:rFonts w:hint="eastAsia" w:ascii="宋体" w:hAnsi="宋体"/>
          <w:color w:val="000000"/>
          <w:sz w:val="28"/>
          <w:szCs w:val="28"/>
        </w:rPr>
        <w:t>1.</w:t>
      </w:r>
      <w:r>
        <w:rPr>
          <w:rFonts w:ascii="宋体" w:hAnsi="宋体"/>
          <w:color w:val="000000"/>
          <w:sz w:val="28"/>
          <w:szCs w:val="28"/>
        </w:rPr>
        <w:t>组织机构</w:t>
      </w:r>
    </w:p>
    <w:p w14:paraId="4BE0C9E7">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000000"/>
          <w:sz w:val="28"/>
          <w:szCs w:val="28"/>
        </w:rPr>
      </w:pPr>
      <w:r>
        <w:rPr>
          <w:rFonts w:ascii="宋体" w:hAnsi="宋体"/>
          <w:color w:val="000000"/>
          <w:sz w:val="28"/>
          <w:szCs w:val="28"/>
        </w:rPr>
        <w:t>加油站实行站长负责制，站长全面负责加油站的生产经营</w:t>
      </w:r>
      <w:r>
        <w:rPr>
          <w:rFonts w:hint="eastAsia" w:ascii="宋体" w:hAnsi="宋体"/>
          <w:color w:val="000000"/>
          <w:sz w:val="28"/>
          <w:szCs w:val="28"/>
        </w:rPr>
        <w:t>和安全管理</w:t>
      </w:r>
      <w:r>
        <w:rPr>
          <w:rFonts w:ascii="宋体" w:hAnsi="宋体"/>
          <w:color w:val="000000"/>
          <w:sz w:val="28"/>
          <w:szCs w:val="28"/>
        </w:rPr>
        <w:t>，</w:t>
      </w:r>
      <w:r>
        <w:rPr>
          <w:rFonts w:hint="eastAsia" w:ascii="宋体" w:hAnsi="宋体"/>
          <w:color w:val="000000"/>
          <w:sz w:val="28"/>
          <w:szCs w:val="28"/>
        </w:rPr>
        <w:t>设</w:t>
      </w:r>
      <w:r>
        <w:rPr>
          <w:rFonts w:ascii="宋体" w:hAnsi="宋体"/>
          <w:color w:val="000000"/>
          <w:sz w:val="28"/>
          <w:szCs w:val="28"/>
        </w:rPr>
        <w:t>安全员</w:t>
      </w:r>
      <w:r>
        <w:rPr>
          <w:rFonts w:hint="eastAsia" w:ascii="宋体" w:hAnsi="宋体"/>
          <w:color w:val="000000"/>
          <w:sz w:val="28"/>
          <w:szCs w:val="28"/>
          <w:lang w:val="en-US" w:eastAsia="zh-CN"/>
        </w:rPr>
        <w:t>1</w:t>
      </w:r>
      <w:r>
        <w:rPr>
          <w:rFonts w:ascii="宋体" w:hAnsi="宋体"/>
          <w:color w:val="000000"/>
          <w:sz w:val="28"/>
          <w:szCs w:val="28"/>
        </w:rPr>
        <w:t>名，负责加油站日常安全工作。</w:t>
      </w:r>
    </w:p>
    <w:p w14:paraId="5FFB8EE2">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000000"/>
          <w:sz w:val="28"/>
          <w:szCs w:val="28"/>
        </w:rPr>
      </w:pPr>
      <w:bookmarkStart w:id="172" w:name="_Toc424306252"/>
      <w:bookmarkStart w:id="173" w:name="_Toc424306001"/>
      <w:bookmarkStart w:id="174" w:name="_Toc433992353"/>
      <w:bookmarkStart w:id="175" w:name="_Toc489629022"/>
      <w:bookmarkStart w:id="176" w:name="_Toc420403870"/>
      <w:bookmarkStart w:id="177" w:name="_Toc438040906"/>
      <w:r>
        <w:rPr>
          <w:rFonts w:hint="eastAsia" w:ascii="宋体" w:hAnsi="宋体"/>
          <w:color w:val="000000"/>
          <w:sz w:val="28"/>
          <w:szCs w:val="28"/>
        </w:rPr>
        <w:t>2.</w:t>
      </w:r>
      <w:r>
        <w:rPr>
          <w:rFonts w:ascii="宋体" w:hAnsi="宋体"/>
          <w:color w:val="000000"/>
          <w:sz w:val="28"/>
          <w:szCs w:val="28"/>
        </w:rPr>
        <w:t>工作制度与劳动定员</w:t>
      </w:r>
      <w:bookmarkEnd w:id="172"/>
      <w:bookmarkEnd w:id="173"/>
      <w:bookmarkEnd w:id="174"/>
      <w:bookmarkEnd w:id="175"/>
      <w:bookmarkEnd w:id="176"/>
      <w:bookmarkEnd w:id="177"/>
    </w:p>
    <w:p w14:paraId="6F8A142F">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000000"/>
          <w:sz w:val="28"/>
          <w:szCs w:val="28"/>
        </w:rPr>
      </w:pPr>
      <w:r>
        <w:rPr>
          <w:rFonts w:ascii="宋体" w:hAnsi="宋体"/>
          <w:color w:val="000000"/>
          <w:sz w:val="28"/>
          <w:szCs w:val="28"/>
        </w:rPr>
        <w:t>加油站年</w:t>
      </w:r>
      <w:r>
        <w:rPr>
          <w:rFonts w:hint="eastAsia" w:ascii="宋体" w:hAnsi="宋体"/>
          <w:color w:val="000000"/>
          <w:sz w:val="28"/>
          <w:szCs w:val="28"/>
        </w:rPr>
        <w:t>工作</w:t>
      </w:r>
      <w:r>
        <w:rPr>
          <w:rFonts w:ascii="宋体" w:hAnsi="宋体"/>
          <w:color w:val="000000"/>
          <w:sz w:val="28"/>
          <w:szCs w:val="28"/>
        </w:rPr>
        <w:t>360日，定员</w:t>
      </w:r>
      <w:r>
        <w:rPr>
          <w:rFonts w:hint="eastAsia" w:ascii="宋体" w:hAnsi="宋体"/>
          <w:color w:val="000000"/>
          <w:sz w:val="28"/>
          <w:szCs w:val="28"/>
          <w:lang w:val="en-US" w:eastAsia="zh-CN"/>
        </w:rPr>
        <w:t>4</w:t>
      </w:r>
      <w:r>
        <w:rPr>
          <w:rFonts w:ascii="宋体" w:hAnsi="宋体"/>
          <w:color w:val="000000"/>
          <w:sz w:val="28"/>
          <w:szCs w:val="28"/>
        </w:rPr>
        <w:t>人</w:t>
      </w:r>
      <w:r>
        <w:rPr>
          <w:rFonts w:hint="eastAsia" w:ascii="宋体" w:hAnsi="宋体"/>
          <w:color w:val="000000"/>
          <w:sz w:val="28"/>
          <w:szCs w:val="28"/>
        </w:rPr>
        <w:t>，</w:t>
      </w:r>
      <w:r>
        <w:rPr>
          <w:rFonts w:ascii="宋体" w:hAnsi="宋体"/>
          <w:color w:val="000000"/>
          <w:sz w:val="28"/>
          <w:szCs w:val="28"/>
        </w:rPr>
        <w:t>分</w:t>
      </w:r>
      <w:r>
        <w:rPr>
          <w:rFonts w:hint="eastAsia" w:ascii="宋体" w:hAnsi="宋体"/>
          <w:color w:val="000000"/>
          <w:sz w:val="28"/>
          <w:szCs w:val="28"/>
        </w:rPr>
        <w:t>二</w:t>
      </w:r>
      <w:r>
        <w:rPr>
          <w:rFonts w:ascii="宋体" w:hAnsi="宋体"/>
          <w:color w:val="000000"/>
          <w:sz w:val="28"/>
          <w:szCs w:val="28"/>
        </w:rPr>
        <w:t>班营业</w:t>
      </w:r>
      <w:r>
        <w:rPr>
          <w:rFonts w:hint="eastAsia" w:ascii="宋体" w:hAnsi="宋体"/>
          <w:color w:val="000000"/>
          <w:sz w:val="28"/>
          <w:szCs w:val="28"/>
        </w:rPr>
        <w:t>。</w:t>
      </w:r>
      <w:r>
        <w:rPr>
          <w:rFonts w:ascii="宋体" w:hAnsi="宋体"/>
          <w:color w:val="000000"/>
          <w:sz w:val="28"/>
          <w:szCs w:val="28"/>
        </w:rPr>
        <w:t xml:space="preserve"> </w:t>
      </w:r>
    </w:p>
    <w:p w14:paraId="4ADDFA66">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000000"/>
          <w:sz w:val="28"/>
          <w:szCs w:val="28"/>
        </w:rPr>
      </w:pPr>
      <w:bookmarkStart w:id="178" w:name="_Toc424306253"/>
      <w:bookmarkStart w:id="179" w:name="_Toc420403871"/>
      <w:bookmarkStart w:id="180" w:name="_Toc438040907"/>
      <w:bookmarkStart w:id="181" w:name="_Toc424306002"/>
      <w:bookmarkStart w:id="182" w:name="_Toc433992354"/>
      <w:r>
        <w:rPr>
          <w:rFonts w:hint="eastAsia" w:ascii="宋体" w:hAnsi="宋体"/>
          <w:color w:val="000000"/>
          <w:sz w:val="28"/>
          <w:szCs w:val="28"/>
        </w:rPr>
        <w:t>3.安全管理人员、特种作业人员取证上岗</w:t>
      </w:r>
      <w:r>
        <w:rPr>
          <w:rFonts w:ascii="宋体" w:hAnsi="宋体"/>
          <w:color w:val="000000"/>
          <w:sz w:val="28"/>
          <w:szCs w:val="28"/>
        </w:rPr>
        <w:t>及安全培训教育</w:t>
      </w:r>
      <w:r>
        <w:rPr>
          <w:rFonts w:hint="eastAsia" w:ascii="宋体" w:hAnsi="宋体"/>
          <w:color w:val="000000"/>
          <w:sz w:val="28"/>
          <w:szCs w:val="28"/>
        </w:rPr>
        <w:t>情况</w:t>
      </w:r>
      <w:bookmarkEnd w:id="178"/>
      <w:bookmarkEnd w:id="179"/>
      <w:bookmarkEnd w:id="180"/>
      <w:bookmarkEnd w:id="181"/>
      <w:bookmarkEnd w:id="182"/>
    </w:p>
    <w:p w14:paraId="38016E6C">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rPr>
      </w:pPr>
      <w:r>
        <w:rPr>
          <w:rFonts w:hint="eastAsia" w:ascii="宋体" w:hAnsi="宋体"/>
          <w:color w:val="000000"/>
          <w:sz w:val="28"/>
          <w:szCs w:val="28"/>
          <w:lang w:val="en-US" w:eastAsia="zh-CN"/>
        </w:rPr>
        <w:t>严志鹏为加油站主要负责人，魏兵</w:t>
      </w:r>
      <w:r>
        <w:rPr>
          <w:rFonts w:hint="eastAsia" w:ascii="宋体" w:hAnsi="宋体"/>
          <w:color w:val="000000"/>
          <w:sz w:val="28"/>
          <w:szCs w:val="28"/>
        </w:rPr>
        <w:t>为</w:t>
      </w:r>
      <w:r>
        <w:rPr>
          <w:rFonts w:ascii="宋体" w:hAnsi="宋体"/>
          <w:color w:val="000000"/>
          <w:sz w:val="28"/>
          <w:szCs w:val="28"/>
        </w:rPr>
        <w:t>加油站站长</w:t>
      </w:r>
      <w:r>
        <w:rPr>
          <w:rFonts w:hint="eastAsia" w:ascii="宋体" w:hAnsi="宋体"/>
          <w:color w:val="000000"/>
          <w:sz w:val="28"/>
          <w:szCs w:val="28"/>
        </w:rPr>
        <w:t>，</w:t>
      </w:r>
      <w:r>
        <w:rPr>
          <w:rFonts w:hint="eastAsia" w:ascii="宋体" w:hAnsi="宋体"/>
          <w:color w:val="000000"/>
          <w:sz w:val="28"/>
          <w:szCs w:val="28"/>
          <w:lang w:val="en-US" w:eastAsia="zh-CN"/>
        </w:rPr>
        <w:t>魏兵</w:t>
      </w:r>
      <w:r>
        <w:rPr>
          <w:rFonts w:hint="eastAsia" w:ascii="宋体" w:hAnsi="宋体"/>
          <w:color w:val="000000"/>
          <w:sz w:val="28"/>
          <w:szCs w:val="28"/>
        </w:rPr>
        <w:t>为加油</w:t>
      </w:r>
      <w:r>
        <w:rPr>
          <w:rFonts w:ascii="宋体" w:hAnsi="宋体"/>
          <w:color w:val="000000"/>
          <w:sz w:val="28"/>
          <w:szCs w:val="28"/>
        </w:rPr>
        <w:t>站安全员</w:t>
      </w:r>
      <w:r>
        <w:rPr>
          <w:rFonts w:hint="eastAsia" w:ascii="宋体" w:hAnsi="宋体"/>
          <w:color w:val="000000"/>
          <w:sz w:val="28"/>
          <w:szCs w:val="28"/>
          <w:lang w:val="en-US" w:eastAsia="zh-CN"/>
        </w:rPr>
        <w:t>均</w:t>
      </w:r>
      <w:r>
        <w:rPr>
          <w:rFonts w:hint="eastAsia" w:ascii="宋体" w:hAnsi="宋体"/>
          <w:color w:val="000000"/>
          <w:sz w:val="28"/>
          <w:szCs w:val="28"/>
        </w:rPr>
        <w:t>已持证上岗。</w:t>
      </w:r>
    </w:p>
    <w:p w14:paraId="62B42B3C">
      <w:pPr>
        <w:spacing w:line="360" w:lineRule="auto"/>
        <w:ind w:firstLine="537" w:firstLineChars="192"/>
        <w:jc w:val="center"/>
        <w:rPr>
          <w:rFonts w:hint="eastAsia" w:ascii="宋体" w:hAnsi="宋体"/>
          <w:color w:val="000000"/>
          <w:sz w:val="28"/>
          <w:szCs w:val="28"/>
        </w:rPr>
      </w:pPr>
      <w:r>
        <w:rPr>
          <w:rFonts w:hint="eastAsia" w:ascii="宋体" w:hAnsi="宋体"/>
          <w:color w:val="000000"/>
          <w:sz w:val="28"/>
          <w:szCs w:val="28"/>
        </w:rPr>
        <w:t>表2-6 加油站人员持证情况表</w:t>
      </w:r>
    </w:p>
    <w:tbl>
      <w:tblPr>
        <w:tblStyle w:val="16"/>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74"/>
        <w:gridCol w:w="887"/>
        <w:gridCol w:w="1266"/>
        <w:gridCol w:w="2113"/>
        <w:gridCol w:w="1565"/>
        <w:gridCol w:w="2707"/>
      </w:tblGrid>
      <w:tr w14:paraId="25A2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5" w:type="dxa"/>
            <w:noWrap w:val="0"/>
            <w:vAlign w:val="center"/>
          </w:tcPr>
          <w:p w14:paraId="3F8550C9">
            <w:pPr>
              <w:spacing w:line="360" w:lineRule="auto"/>
              <w:jc w:val="center"/>
              <w:rPr>
                <w:rFonts w:ascii="宋体" w:hAnsi="宋体"/>
                <w:color w:val="000000"/>
                <w:sz w:val="21"/>
                <w:szCs w:val="21"/>
              </w:rPr>
            </w:pPr>
            <w:r>
              <w:rPr>
                <w:rFonts w:ascii="宋体" w:hAnsi="宋体"/>
                <w:color w:val="000000"/>
                <w:sz w:val="21"/>
                <w:szCs w:val="21"/>
              </w:rPr>
              <w:t>序号</w:t>
            </w:r>
          </w:p>
        </w:tc>
        <w:tc>
          <w:tcPr>
            <w:tcW w:w="874" w:type="dxa"/>
            <w:noWrap w:val="0"/>
            <w:vAlign w:val="center"/>
          </w:tcPr>
          <w:p w14:paraId="0FCBE457">
            <w:pPr>
              <w:spacing w:line="360" w:lineRule="auto"/>
              <w:jc w:val="center"/>
              <w:rPr>
                <w:rFonts w:ascii="宋体" w:hAnsi="宋体"/>
                <w:color w:val="000000"/>
                <w:sz w:val="21"/>
                <w:szCs w:val="21"/>
              </w:rPr>
            </w:pPr>
            <w:r>
              <w:rPr>
                <w:rFonts w:ascii="宋体" w:hAnsi="宋体"/>
                <w:color w:val="000000"/>
                <w:sz w:val="21"/>
                <w:szCs w:val="21"/>
              </w:rPr>
              <w:t>姓名</w:t>
            </w:r>
          </w:p>
        </w:tc>
        <w:tc>
          <w:tcPr>
            <w:tcW w:w="887" w:type="dxa"/>
            <w:noWrap w:val="0"/>
            <w:vAlign w:val="center"/>
          </w:tcPr>
          <w:p w14:paraId="1EA34862">
            <w:pPr>
              <w:spacing w:line="360" w:lineRule="auto"/>
              <w:jc w:val="center"/>
              <w:rPr>
                <w:rFonts w:ascii="宋体" w:hAnsi="宋体"/>
                <w:color w:val="000000"/>
                <w:sz w:val="21"/>
                <w:szCs w:val="21"/>
              </w:rPr>
            </w:pPr>
            <w:r>
              <w:rPr>
                <w:rFonts w:ascii="宋体" w:hAnsi="宋体"/>
                <w:color w:val="000000"/>
                <w:sz w:val="21"/>
                <w:szCs w:val="21"/>
              </w:rPr>
              <w:t>职 务</w:t>
            </w:r>
          </w:p>
        </w:tc>
        <w:tc>
          <w:tcPr>
            <w:tcW w:w="1266" w:type="dxa"/>
            <w:noWrap w:val="0"/>
            <w:vAlign w:val="center"/>
          </w:tcPr>
          <w:p w14:paraId="0F13BB4E">
            <w:pPr>
              <w:spacing w:line="360" w:lineRule="auto"/>
              <w:jc w:val="center"/>
              <w:rPr>
                <w:rFonts w:ascii="宋体" w:hAnsi="宋体"/>
                <w:color w:val="000000"/>
                <w:sz w:val="21"/>
                <w:szCs w:val="21"/>
              </w:rPr>
            </w:pPr>
            <w:r>
              <w:rPr>
                <w:rFonts w:ascii="宋体" w:hAnsi="宋体"/>
                <w:color w:val="000000"/>
                <w:sz w:val="21"/>
                <w:szCs w:val="21"/>
              </w:rPr>
              <w:t>证书类别</w:t>
            </w:r>
          </w:p>
        </w:tc>
        <w:tc>
          <w:tcPr>
            <w:tcW w:w="2113" w:type="dxa"/>
            <w:noWrap w:val="0"/>
            <w:vAlign w:val="center"/>
          </w:tcPr>
          <w:p w14:paraId="7056B309">
            <w:pPr>
              <w:spacing w:line="360" w:lineRule="auto"/>
              <w:jc w:val="center"/>
              <w:rPr>
                <w:rFonts w:ascii="宋体" w:hAnsi="宋体"/>
                <w:color w:val="000000"/>
                <w:sz w:val="21"/>
                <w:szCs w:val="21"/>
              </w:rPr>
            </w:pPr>
            <w:r>
              <w:rPr>
                <w:rFonts w:hint="eastAsia" w:ascii="宋体" w:hAnsi="宋体"/>
                <w:color w:val="000000"/>
                <w:sz w:val="21"/>
                <w:szCs w:val="21"/>
              </w:rPr>
              <w:t>编</w:t>
            </w:r>
            <w:r>
              <w:rPr>
                <w:rFonts w:ascii="宋体" w:hAnsi="宋体"/>
                <w:color w:val="000000"/>
                <w:sz w:val="21"/>
                <w:szCs w:val="21"/>
              </w:rPr>
              <w:t>号</w:t>
            </w:r>
          </w:p>
        </w:tc>
        <w:tc>
          <w:tcPr>
            <w:tcW w:w="1565" w:type="dxa"/>
            <w:noWrap w:val="0"/>
            <w:vAlign w:val="center"/>
          </w:tcPr>
          <w:p w14:paraId="1734B04D">
            <w:pPr>
              <w:spacing w:line="360" w:lineRule="auto"/>
              <w:jc w:val="center"/>
              <w:rPr>
                <w:rFonts w:ascii="宋体" w:hAnsi="宋体"/>
                <w:color w:val="000000"/>
                <w:sz w:val="21"/>
                <w:szCs w:val="21"/>
              </w:rPr>
            </w:pPr>
            <w:r>
              <w:rPr>
                <w:rFonts w:ascii="宋体" w:hAnsi="宋体"/>
                <w:color w:val="000000"/>
                <w:sz w:val="21"/>
                <w:szCs w:val="21"/>
              </w:rPr>
              <w:t>有效期</w:t>
            </w:r>
          </w:p>
        </w:tc>
        <w:tc>
          <w:tcPr>
            <w:tcW w:w="2707" w:type="dxa"/>
            <w:noWrap w:val="0"/>
            <w:vAlign w:val="center"/>
          </w:tcPr>
          <w:p w14:paraId="5D2E4FAC">
            <w:pPr>
              <w:spacing w:line="360" w:lineRule="auto"/>
              <w:jc w:val="center"/>
              <w:rPr>
                <w:rFonts w:ascii="宋体" w:hAnsi="宋体"/>
                <w:color w:val="000000"/>
                <w:sz w:val="21"/>
                <w:szCs w:val="21"/>
              </w:rPr>
            </w:pPr>
            <w:r>
              <w:rPr>
                <w:rFonts w:ascii="宋体" w:hAnsi="宋体"/>
                <w:color w:val="000000"/>
                <w:sz w:val="21"/>
                <w:szCs w:val="21"/>
              </w:rPr>
              <w:t>发证单位</w:t>
            </w:r>
          </w:p>
        </w:tc>
      </w:tr>
      <w:tr w14:paraId="269D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695" w:type="dxa"/>
            <w:noWrap w:val="0"/>
            <w:vAlign w:val="center"/>
          </w:tcPr>
          <w:p w14:paraId="42D2FC78">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874" w:type="dxa"/>
            <w:noWrap w:val="0"/>
            <w:vAlign w:val="center"/>
          </w:tcPr>
          <w:p w14:paraId="4F47BE89">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严志鹏</w:t>
            </w:r>
          </w:p>
        </w:tc>
        <w:tc>
          <w:tcPr>
            <w:tcW w:w="887" w:type="dxa"/>
            <w:noWrap w:val="0"/>
            <w:vAlign w:val="center"/>
          </w:tcPr>
          <w:p w14:paraId="399F95D5">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法人</w:t>
            </w:r>
          </w:p>
        </w:tc>
        <w:tc>
          <w:tcPr>
            <w:tcW w:w="1266" w:type="dxa"/>
            <w:noWrap w:val="0"/>
            <w:vAlign w:val="center"/>
          </w:tcPr>
          <w:p w14:paraId="707517E7">
            <w:pPr>
              <w:spacing w:line="360" w:lineRule="auto"/>
              <w:jc w:val="center"/>
              <w:rPr>
                <w:rFonts w:hint="eastAsia" w:ascii="宋体" w:hAnsi="宋体" w:eastAsia="宋体" w:cs="宋体"/>
                <w:color w:val="000000"/>
                <w:sz w:val="21"/>
                <w:szCs w:val="21"/>
              </w:rPr>
            </w:pPr>
            <w:r>
              <w:rPr>
                <w:rFonts w:hint="eastAsia" w:ascii="宋体" w:hAnsi="宋体" w:eastAsia="宋体" w:cs="宋体"/>
                <w:snapToGrid w:val="0"/>
                <w:color w:val="000000"/>
                <w:kern w:val="0"/>
                <w:sz w:val="21"/>
                <w:szCs w:val="21"/>
              </w:rPr>
              <w:t>主要负责人</w:t>
            </w:r>
          </w:p>
        </w:tc>
        <w:tc>
          <w:tcPr>
            <w:tcW w:w="2113" w:type="dxa"/>
            <w:noWrap w:val="0"/>
            <w:vAlign w:val="center"/>
          </w:tcPr>
          <w:p w14:paraId="5F07E439">
            <w:pPr>
              <w:pStyle w:val="14"/>
              <w:spacing w:before="0" w:beforeAutospacing="0" w:after="0" w:afterAutospacing="0"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aps w:val="0"/>
                <w:spacing w:val="0"/>
                <w:sz w:val="21"/>
                <w:szCs w:val="21"/>
                <w:shd w:val="clear" w:fill="FFFFFF"/>
              </w:rPr>
              <w:t>350322199002135191</w:t>
            </w:r>
          </w:p>
        </w:tc>
        <w:tc>
          <w:tcPr>
            <w:tcW w:w="1565" w:type="dxa"/>
            <w:noWrap w:val="0"/>
            <w:vAlign w:val="center"/>
          </w:tcPr>
          <w:p w14:paraId="78BB0455">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2023-09-18至2026-09-17</w:t>
            </w:r>
          </w:p>
        </w:tc>
        <w:tc>
          <w:tcPr>
            <w:tcW w:w="2707" w:type="dxa"/>
            <w:noWrap w:val="0"/>
            <w:vAlign w:val="center"/>
          </w:tcPr>
          <w:p w14:paraId="7A50673F">
            <w:pPr>
              <w:spacing w:line="360" w:lineRule="auto"/>
              <w:jc w:val="center"/>
              <w:rPr>
                <w:rFonts w:hint="eastAsia" w:ascii="宋体" w:hAnsi="宋体" w:eastAsia="宋体" w:cs="宋体"/>
                <w:color w:val="000000"/>
                <w:sz w:val="21"/>
                <w:szCs w:val="21"/>
              </w:rPr>
            </w:pPr>
            <w:r>
              <w:rPr>
                <w:rFonts w:hint="eastAsia" w:ascii="宋体" w:hAnsi="宋体" w:eastAsia="宋体" w:cs="宋体"/>
                <w:i w:val="0"/>
                <w:iCs w:val="0"/>
                <w:caps w:val="0"/>
                <w:spacing w:val="0"/>
                <w:sz w:val="21"/>
                <w:szCs w:val="21"/>
                <w:shd w:val="clear" w:fill="FFFFFF"/>
              </w:rPr>
              <w:t>怒江傈僳族自治州应急管理局</w:t>
            </w:r>
          </w:p>
        </w:tc>
      </w:tr>
      <w:tr w14:paraId="7DF3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95" w:type="dxa"/>
            <w:noWrap w:val="0"/>
            <w:vAlign w:val="center"/>
          </w:tcPr>
          <w:p w14:paraId="7D6857EA">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874" w:type="dxa"/>
            <w:noWrap w:val="0"/>
            <w:vAlign w:val="center"/>
          </w:tcPr>
          <w:p w14:paraId="53F55BFC">
            <w:pPr>
              <w:spacing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魏兵</w:t>
            </w:r>
          </w:p>
        </w:tc>
        <w:tc>
          <w:tcPr>
            <w:tcW w:w="887" w:type="dxa"/>
            <w:shd w:val="clear" w:color="auto" w:fill="auto"/>
            <w:noWrap w:val="0"/>
            <w:vAlign w:val="center"/>
          </w:tcPr>
          <w:p w14:paraId="5BC4DBA2">
            <w:pPr>
              <w:spacing w:line="36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站长</w:t>
            </w:r>
          </w:p>
        </w:tc>
        <w:tc>
          <w:tcPr>
            <w:tcW w:w="1266" w:type="dxa"/>
            <w:shd w:val="clear" w:color="auto" w:fill="auto"/>
            <w:noWrap w:val="0"/>
            <w:vAlign w:val="center"/>
          </w:tcPr>
          <w:p w14:paraId="499FD69C">
            <w:pPr>
              <w:spacing w:line="36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napToGrid w:val="0"/>
                <w:color w:val="000000"/>
                <w:kern w:val="0"/>
                <w:sz w:val="21"/>
                <w:szCs w:val="21"/>
              </w:rPr>
              <w:t>安全生产管理人员</w:t>
            </w:r>
          </w:p>
        </w:tc>
        <w:tc>
          <w:tcPr>
            <w:tcW w:w="2113" w:type="dxa"/>
            <w:noWrap w:val="0"/>
            <w:vAlign w:val="center"/>
          </w:tcPr>
          <w:p w14:paraId="4D5889E1">
            <w:pPr>
              <w:pStyle w:val="14"/>
              <w:spacing w:before="0" w:beforeAutospacing="0" w:after="0" w:afterAutospacing="0" w:line="360" w:lineRule="auto"/>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aps w:val="0"/>
                <w:spacing w:val="0"/>
                <w:sz w:val="21"/>
                <w:szCs w:val="21"/>
                <w:shd w:val="clear" w:fill="FFFFFF"/>
              </w:rPr>
              <w:t>51082319870723077X</w:t>
            </w:r>
          </w:p>
        </w:tc>
        <w:tc>
          <w:tcPr>
            <w:tcW w:w="1565" w:type="dxa"/>
            <w:noWrap w:val="0"/>
            <w:vAlign w:val="center"/>
          </w:tcPr>
          <w:p w14:paraId="72264043">
            <w:pPr>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2023-09-18至2026-09-17</w:t>
            </w:r>
          </w:p>
        </w:tc>
        <w:tc>
          <w:tcPr>
            <w:tcW w:w="2707" w:type="dxa"/>
            <w:noWrap w:val="0"/>
            <w:vAlign w:val="center"/>
          </w:tcPr>
          <w:p w14:paraId="61BD42CC">
            <w:pPr>
              <w:spacing w:line="360" w:lineRule="auto"/>
              <w:jc w:val="center"/>
              <w:rPr>
                <w:rFonts w:hint="eastAsia" w:ascii="宋体" w:hAnsi="宋体" w:eastAsia="宋体" w:cs="宋体"/>
                <w:color w:val="000000"/>
                <w:sz w:val="21"/>
                <w:szCs w:val="21"/>
              </w:rPr>
            </w:pPr>
            <w:r>
              <w:rPr>
                <w:rFonts w:hint="eastAsia" w:ascii="宋体" w:hAnsi="宋体" w:eastAsia="宋体" w:cs="宋体"/>
                <w:i w:val="0"/>
                <w:iCs w:val="0"/>
                <w:caps w:val="0"/>
                <w:spacing w:val="0"/>
                <w:sz w:val="21"/>
                <w:szCs w:val="21"/>
                <w:shd w:val="clear" w:fill="FFFFFF"/>
              </w:rPr>
              <w:t>怒江傈僳族自治州应急管理局</w:t>
            </w:r>
          </w:p>
        </w:tc>
      </w:tr>
    </w:tbl>
    <w:p w14:paraId="15B8A57C">
      <w:pPr>
        <w:pStyle w:val="3"/>
        <w:keepNext/>
        <w:keepLines/>
        <w:pageBreakBefore w:val="0"/>
        <w:widowControl w:val="0"/>
        <w:kinsoku/>
        <w:wordWrap/>
        <w:overflowPunct/>
        <w:topLinePunct w:val="0"/>
        <w:autoSpaceDE/>
        <w:autoSpaceDN/>
        <w:bidi w:val="0"/>
        <w:adjustRightInd/>
        <w:snapToGrid/>
        <w:spacing w:before="10" w:after="0" w:afterLines="0" w:line="600" w:lineRule="exact"/>
        <w:textAlignment w:val="auto"/>
        <w:outlineLvl w:val="2"/>
        <w:rPr>
          <w:rFonts w:hint="eastAsia" w:ascii="宋体" w:hAnsi="宋体" w:eastAsia="宋体" w:cs="宋体"/>
          <w:color w:val="000000"/>
          <w:kern w:val="3"/>
          <w:sz w:val="30"/>
          <w:szCs w:val="30"/>
        </w:rPr>
      </w:pPr>
      <w:bookmarkStart w:id="183" w:name="_Toc6173"/>
      <w:bookmarkStart w:id="184" w:name="_Toc7687"/>
      <w:bookmarkStart w:id="185" w:name="_Toc14370"/>
      <w:bookmarkStart w:id="186" w:name="_Toc27944"/>
      <w:bookmarkStart w:id="187" w:name="_Toc27558"/>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7</w:t>
      </w:r>
      <w:r>
        <w:rPr>
          <w:rFonts w:hint="eastAsia" w:ascii="宋体" w:hAnsi="宋体" w:eastAsia="宋体" w:cs="宋体"/>
          <w:color w:val="000000"/>
          <w:kern w:val="3"/>
          <w:sz w:val="30"/>
          <w:szCs w:val="30"/>
        </w:rPr>
        <w:t>.2安全生产管理机构及管理制度</w:t>
      </w:r>
      <w:bookmarkEnd w:id="183"/>
      <w:bookmarkEnd w:id="184"/>
      <w:bookmarkEnd w:id="185"/>
      <w:bookmarkEnd w:id="186"/>
      <w:bookmarkEnd w:id="187"/>
    </w:p>
    <w:p w14:paraId="44D64D3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000000"/>
        </w:rPr>
      </w:pPr>
      <w:r>
        <w:rPr>
          <w:rFonts w:hint="eastAsia" w:ascii="宋体" w:hAnsi="宋体"/>
          <w:color w:val="000000"/>
          <w:sz w:val="28"/>
          <w:szCs w:val="28"/>
        </w:rPr>
        <w:t>为保障企业的安全生产，贯彻“安全第一、预防为主、综合治理”的方针，根据《安全生产法》的规定，结合自身实际情况，设立了以加油站站长及安全员组成的安全生产领导小组，并任命了专职安全员。同时，加油站制定了安全生产管理制度、操作规程等，加油站在生产过程中严格执行规章制度，保障生产安全。</w:t>
      </w:r>
    </w:p>
    <w:p w14:paraId="3A5643E0">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b w:val="0"/>
          <w:bCs/>
          <w:color w:val="000000"/>
          <w:sz w:val="28"/>
        </w:rPr>
      </w:pPr>
      <w:r>
        <w:rPr>
          <w:rFonts w:hint="eastAsia" w:ascii="宋体" w:hAnsi="宋体"/>
          <w:b w:val="0"/>
          <w:bCs/>
          <w:color w:val="000000"/>
          <w:sz w:val="28"/>
          <w:lang w:val="en-US" w:eastAsia="zh-CN"/>
        </w:rPr>
        <w:t>1</w:t>
      </w:r>
      <w:r>
        <w:rPr>
          <w:rFonts w:hint="eastAsia" w:ascii="宋体" w:hAnsi="宋体"/>
          <w:b w:val="0"/>
          <w:bCs/>
          <w:color w:val="000000"/>
          <w:sz w:val="28"/>
        </w:rPr>
        <w:t>. 安全管理职责分工</w:t>
      </w:r>
    </w:p>
    <w:p w14:paraId="4CCE9AE5">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b w:val="0"/>
          <w:bCs/>
          <w:color w:val="000000"/>
          <w:sz w:val="28"/>
          <w:szCs w:val="28"/>
        </w:rPr>
      </w:pPr>
      <w:r>
        <w:rPr>
          <w:rFonts w:hint="eastAsia" w:ascii="宋体" w:hAnsi="宋体"/>
          <w:b w:val="0"/>
          <w:bCs/>
          <w:color w:val="000000"/>
          <w:sz w:val="28"/>
          <w:szCs w:val="28"/>
        </w:rPr>
        <w:t>（</w:t>
      </w:r>
      <w:r>
        <w:rPr>
          <w:rFonts w:ascii="宋体" w:hAnsi="宋体"/>
          <w:b w:val="0"/>
          <w:bCs/>
          <w:color w:val="000000"/>
          <w:sz w:val="28"/>
          <w:szCs w:val="28"/>
        </w:rPr>
        <w:t>1）</w:t>
      </w:r>
      <w:r>
        <w:rPr>
          <w:rFonts w:hint="eastAsia" w:ascii="宋体" w:hAnsi="宋体"/>
          <w:b w:val="0"/>
          <w:bCs/>
          <w:color w:val="000000"/>
          <w:sz w:val="28"/>
          <w:szCs w:val="28"/>
          <w:lang w:eastAsia="zh-CN"/>
        </w:rPr>
        <w:t>宏源加油站</w:t>
      </w:r>
      <w:r>
        <w:rPr>
          <w:rFonts w:hint="eastAsia" w:ascii="宋体" w:hAnsi="宋体"/>
          <w:b w:val="0"/>
          <w:bCs/>
          <w:color w:val="000000"/>
          <w:sz w:val="28"/>
          <w:szCs w:val="28"/>
        </w:rPr>
        <w:t>站长：负责</w:t>
      </w:r>
      <w:r>
        <w:rPr>
          <w:rFonts w:hint="eastAsia" w:ascii="宋体" w:hAnsi="宋体"/>
          <w:b w:val="0"/>
          <w:bCs/>
          <w:color w:val="000000"/>
          <w:sz w:val="28"/>
          <w:szCs w:val="28"/>
          <w:lang w:eastAsia="zh-CN"/>
        </w:rPr>
        <w:t>宏源加油站</w:t>
      </w:r>
      <w:r>
        <w:rPr>
          <w:rFonts w:hint="eastAsia" w:ascii="宋体" w:hAnsi="宋体"/>
          <w:b w:val="0"/>
          <w:bCs/>
          <w:color w:val="000000"/>
          <w:sz w:val="28"/>
          <w:szCs w:val="28"/>
        </w:rPr>
        <w:t>的全面安全工作。</w:t>
      </w:r>
    </w:p>
    <w:p w14:paraId="02C682D2">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b w:val="0"/>
          <w:bCs/>
          <w:color w:val="000000"/>
          <w:sz w:val="28"/>
          <w:szCs w:val="28"/>
        </w:rPr>
      </w:pPr>
      <w:r>
        <w:rPr>
          <w:rFonts w:hint="eastAsia" w:ascii="宋体" w:hAnsi="宋体"/>
          <w:b w:val="0"/>
          <w:bCs/>
          <w:color w:val="000000"/>
          <w:sz w:val="28"/>
          <w:szCs w:val="28"/>
        </w:rPr>
        <w:t>（2）</w:t>
      </w:r>
      <w:r>
        <w:rPr>
          <w:rFonts w:hint="eastAsia" w:ascii="宋体" w:hAnsi="宋体"/>
          <w:b w:val="0"/>
          <w:bCs/>
          <w:color w:val="000000"/>
          <w:sz w:val="28"/>
          <w:szCs w:val="28"/>
          <w:lang w:eastAsia="zh-CN"/>
        </w:rPr>
        <w:t>宏源加油站</w:t>
      </w:r>
      <w:r>
        <w:rPr>
          <w:rFonts w:ascii="宋体" w:hAnsi="宋体"/>
          <w:b w:val="0"/>
          <w:bCs/>
          <w:color w:val="000000"/>
          <w:sz w:val="28"/>
          <w:szCs w:val="28"/>
        </w:rPr>
        <w:t>安全员：负责抓好加油站各岗位人员的教育、组织、培训</w:t>
      </w:r>
      <w:r>
        <w:rPr>
          <w:rFonts w:hint="eastAsia" w:ascii="宋体" w:hAnsi="宋体"/>
          <w:b w:val="0"/>
          <w:bCs/>
          <w:color w:val="000000"/>
          <w:sz w:val="28"/>
          <w:szCs w:val="28"/>
        </w:rPr>
        <w:t>及协助加油站站长安全管理工作。</w:t>
      </w:r>
    </w:p>
    <w:p w14:paraId="4B8334BC">
      <w:pPr>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b w:val="0"/>
          <w:bCs/>
          <w:color w:val="000000"/>
          <w:sz w:val="28"/>
          <w:szCs w:val="28"/>
        </w:rPr>
      </w:pPr>
      <w:r>
        <w:rPr>
          <w:rFonts w:hint="eastAsia" w:ascii="宋体" w:hAnsi="宋体"/>
          <w:b w:val="0"/>
          <w:bCs/>
          <w:color w:val="000000"/>
          <w:sz w:val="28"/>
          <w:szCs w:val="28"/>
        </w:rPr>
        <w:t>（3）</w:t>
      </w:r>
      <w:r>
        <w:rPr>
          <w:rFonts w:hint="eastAsia" w:ascii="宋体" w:hAnsi="宋体"/>
          <w:b w:val="0"/>
          <w:bCs/>
          <w:color w:val="000000"/>
          <w:sz w:val="28"/>
          <w:szCs w:val="28"/>
          <w:lang w:eastAsia="zh-CN"/>
        </w:rPr>
        <w:t>宏源加油站</w:t>
      </w:r>
      <w:r>
        <w:rPr>
          <w:rFonts w:ascii="宋体" w:hAnsi="宋体"/>
          <w:b w:val="0"/>
          <w:bCs/>
          <w:color w:val="000000"/>
          <w:sz w:val="28"/>
          <w:szCs w:val="28"/>
        </w:rPr>
        <w:t>具体操作人员</w:t>
      </w:r>
      <w:r>
        <w:rPr>
          <w:rFonts w:hint="eastAsia" w:ascii="宋体" w:hAnsi="宋体"/>
          <w:b w:val="0"/>
          <w:bCs/>
          <w:color w:val="000000"/>
          <w:sz w:val="28"/>
          <w:szCs w:val="28"/>
        </w:rPr>
        <w:t>：</w:t>
      </w:r>
      <w:r>
        <w:rPr>
          <w:rFonts w:ascii="宋体" w:hAnsi="宋体"/>
          <w:b w:val="0"/>
          <w:bCs/>
          <w:color w:val="000000"/>
          <w:sz w:val="28"/>
          <w:szCs w:val="28"/>
        </w:rPr>
        <w:t>负责加油站的日常具体工作。</w:t>
      </w:r>
    </w:p>
    <w:p w14:paraId="27BD3E9B">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b w:val="0"/>
          <w:bCs/>
          <w:color w:val="000000"/>
          <w:sz w:val="28"/>
        </w:rPr>
      </w:pPr>
      <w:bookmarkStart w:id="188" w:name="_Toc424306255"/>
      <w:bookmarkStart w:id="189" w:name="_Toc433992356"/>
      <w:bookmarkStart w:id="190" w:name="_Toc438040909"/>
      <w:bookmarkStart w:id="191" w:name="_Toc420403873"/>
      <w:bookmarkStart w:id="192" w:name="_Toc424306004"/>
      <w:bookmarkStart w:id="193" w:name="_Toc489629024"/>
      <w:r>
        <w:rPr>
          <w:rFonts w:hint="eastAsia" w:ascii="宋体" w:hAnsi="宋体"/>
          <w:b w:val="0"/>
          <w:bCs/>
          <w:color w:val="000000"/>
          <w:sz w:val="28"/>
          <w:lang w:val="en-US" w:eastAsia="zh-CN"/>
        </w:rPr>
        <w:t>2</w:t>
      </w:r>
      <w:r>
        <w:rPr>
          <w:rFonts w:hint="eastAsia" w:ascii="宋体" w:hAnsi="宋体"/>
          <w:b w:val="0"/>
          <w:bCs/>
          <w:color w:val="000000"/>
          <w:sz w:val="28"/>
        </w:rPr>
        <w:t>.安全管理制度、职责及操作规程</w:t>
      </w:r>
      <w:bookmarkEnd w:id="188"/>
      <w:bookmarkEnd w:id="189"/>
      <w:bookmarkEnd w:id="190"/>
      <w:bookmarkEnd w:id="191"/>
      <w:bookmarkEnd w:id="192"/>
      <w:bookmarkEnd w:id="193"/>
    </w:p>
    <w:p w14:paraId="3FC319B9">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000000"/>
          <w:sz w:val="28"/>
          <w:szCs w:val="28"/>
        </w:rPr>
      </w:pPr>
      <w:r>
        <w:rPr>
          <w:rFonts w:hint="eastAsia" w:ascii="宋体" w:hAnsi="宋体"/>
          <w:color w:val="000000"/>
          <w:sz w:val="28"/>
        </w:rPr>
        <w:t>根据有关法律法规要求</w:t>
      </w:r>
      <w:r>
        <w:rPr>
          <w:rFonts w:hint="eastAsia" w:ascii="宋体" w:hAnsi="宋体"/>
          <w:color w:val="000000"/>
          <w:sz w:val="28"/>
          <w:szCs w:val="28"/>
          <w:lang w:eastAsia="zh-CN"/>
        </w:rPr>
        <w:t>宏源加油站</w:t>
      </w:r>
      <w:r>
        <w:rPr>
          <w:rFonts w:hint="eastAsia" w:ascii="宋体" w:hAnsi="宋体"/>
          <w:color w:val="000000"/>
          <w:sz w:val="28"/>
          <w:szCs w:val="28"/>
        </w:rPr>
        <w:t>制定了相应的职责、安全生产管理制度、操作规程等（详见附件）。</w:t>
      </w:r>
    </w:p>
    <w:p w14:paraId="3C308F68">
      <w:pPr>
        <w:pStyle w:val="3"/>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outlineLvl w:val="2"/>
        <w:rPr>
          <w:rFonts w:hint="eastAsia" w:ascii="宋体" w:hAnsi="宋体" w:eastAsia="宋体" w:cs="宋体"/>
          <w:color w:val="000000"/>
          <w:kern w:val="3"/>
          <w:sz w:val="30"/>
          <w:szCs w:val="30"/>
        </w:rPr>
      </w:pPr>
      <w:bookmarkStart w:id="194" w:name="_Toc25562"/>
      <w:bookmarkStart w:id="195" w:name="_Toc8390"/>
      <w:bookmarkStart w:id="196" w:name="_Toc3887"/>
      <w:bookmarkStart w:id="197" w:name="_Toc24686"/>
      <w:bookmarkStart w:id="198" w:name="_Toc28962"/>
      <w:r>
        <w:rPr>
          <w:rFonts w:hint="eastAsia" w:ascii="宋体" w:hAnsi="宋体" w:eastAsia="宋体" w:cs="宋体"/>
          <w:color w:val="000000"/>
          <w:kern w:val="3"/>
          <w:sz w:val="30"/>
          <w:szCs w:val="30"/>
        </w:rPr>
        <w:t>2.</w:t>
      </w:r>
      <w:r>
        <w:rPr>
          <w:rFonts w:hint="eastAsia" w:ascii="宋体" w:hAnsi="宋体" w:eastAsia="宋体" w:cs="宋体"/>
          <w:color w:val="000000"/>
          <w:kern w:val="3"/>
          <w:sz w:val="30"/>
          <w:szCs w:val="30"/>
          <w:lang w:val="en-US" w:eastAsia="zh-CN"/>
        </w:rPr>
        <w:t>7</w:t>
      </w:r>
      <w:r>
        <w:rPr>
          <w:rFonts w:hint="eastAsia" w:ascii="宋体" w:hAnsi="宋体" w:eastAsia="宋体" w:cs="宋体"/>
          <w:color w:val="000000"/>
          <w:kern w:val="3"/>
          <w:sz w:val="30"/>
          <w:szCs w:val="30"/>
        </w:rPr>
        <w:t>.3应急救援预案</w:t>
      </w:r>
      <w:bookmarkEnd w:id="194"/>
      <w:bookmarkEnd w:id="195"/>
      <w:bookmarkEnd w:id="196"/>
      <w:bookmarkEnd w:id="197"/>
      <w:bookmarkEnd w:id="198"/>
    </w:p>
    <w:p w14:paraId="1467F457">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0000FF"/>
          <w:sz w:val="28"/>
          <w:szCs w:val="28"/>
          <w:shd w:val="clear" w:color="FFFFFF" w:fill="D9D9D9"/>
          <w:lang w:val="en-US" w:eastAsia="zh-CN"/>
        </w:rPr>
      </w:pPr>
      <w:r>
        <w:rPr>
          <w:rFonts w:ascii="宋体" w:hAnsi="宋体"/>
          <w:color w:val="000000"/>
          <w:sz w:val="28"/>
          <w:szCs w:val="28"/>
        </w:rPr>
        <w:t>加油站</w:t>
      </w:r>
      <w:r>
        <w:rPr>
          <w:rFonts w:hint="eastAsia" w:ascii="宋体" w:hAnsi="宋体"/>
          <w:color w:val="000000"/>
          <w:sz w:val="28"/>
          <w:szCs w:val="28"/>
        </w:rPr>
        <w:t>按照相关技术规范的要求制定了《</w:t>
      </w:r>
      <w:r>
        <w:rPr>
          <w:rFonts w:hint="eastAsia" w:ascii="宋体" w:hAnsi="宋体"/>
          <w:color w:val="000000"/>
          <w:sz w:val="28"/>
          <w:szCs w:val="28"/>
          <w:lang w:val="en-US" w:eastAsia="zh-CN"/>
        </w:rPr>
        <w:t>兰坪县宏源经贸有限责任公司</w:t>
      </w:r>
      <w:r>
        <w:rPr>
          <w:rFonts w:hint="eastAsia" w:ascii="宋体" w:hAnsi="宋体"/>
          <w:color w:val="000000"/>
          <w:sz w:val="28"/>
          <w:szCs w:val="28"/>
        </w:rPr>
        <w:t>生产安全事故应急救援预案》，加油站定期组织员工对所制定的预案进行应急演练，并做好应急演练记录</w:t>
      </w:r>
      <w:r>
        <w:rPr>
          <w:rFonts w:hint="eastAsia" w:ascii="宋体" w:hAnsi="宋体"/>
          <w:sz w:val="28"/>
          <w:szCs w:val="28"/>
        </w:rPr>
        <w:t>。</w:t>
      </w:r>
      <w:r>
        <w:rPr>
          <w:rFonts w:hint="eastAsia" w:ascii="宋体" w:hAnsi="宋体"/>
          <w:color w:val="000000" w:themeColor="text1"/>
          <w:sz w:val="28"/>
          <w:szCs w:val="28"/>
          <w:shd w:val="clear" w:color="auto" w:fill="auto"/>
          <w14:textFill>
            <w14:solidFill>
              <w14:schemeClr w14:val="tx1"/>
            </w14:solidFill>
          </w14:textFill>
        </w:rPr>
        <w:t>加油站所制定的应急预案</w:t>
      </w:r>
      <w:r>
        <w:rPr>
          <w:rFonts w:hint="eastAsia" w:ascii="宋体" w:hAnsi="宋体"/>
          <w:color w:val="000000" w:themeColor="text1"/>
          <w:sz w:val="28"/>
          <w:szCs w:val="28"/>
          <w:shd w:val="clear" w:color="auto" w:fill="auto"/>
          <w:lang w:val="en-US" w:eastAsia="zh-CN"/>
          <w14:textFill>
            <w14:solidFill>
              <w14:schemeClr w14:val="tx1"/>
            </w14:solidFill>
          </w14:textFill>
        </w:rPr>
        <w:t>于</w:t>
      </w:r>
      <w:r>
        <w:rPr>
          <w:rFonts w:hint="eastAsia" w:ascii="宋体" w:hAnsi="宋体"/>
          <w:color w:val="000000" w:themeColor="text1"/>
          <w:sz w:val="28"/>
          <w:szCs w:val="28"/>
          <w:shd w:val="clear" w:color="auto" w:fill="auto"/>
          <w14:textFill>
            <w14:solidFill>
              <w14:schemeClr w14:val="tx1"/>
            </w14:solidFill>
          </w14:textFill>
        </w:rPr>
        <w:t>202</w:t>
      </w:r>
      <w:r>
        <w:rPr>
          <w:rFonts w:hint="eastAsia" w:ascii="宋体" w:hAnsi="宋体"/>
          <w:color w:val="000000" w:themeColor="text1"/>
          <w:sz w:val="28"/>
          <w:szCs w:val="28"/>
          <w:shd w:val="clear" w:color="auto" w:fill="auto"/>
          <w:lang w:val="en-US" w:eastAsia="zh-CN"/>
          <w14:textFill>
            <w14:solidFill>
              <w14:schemeClr w14:val="tx1"/>
            </w14:solidFill>
          </w14:textFill>
        </w:rPr>
        <w:t>3</w:t>
      </w:r>
      <w:r>
        <w:rPr>
          <w:rFonts w:hint="eastAsia" w:ascii="宋体" w:hAnsi="宋体"/>
          <w:color w:val="000000" w:themeColor="text1"/>
          <w:sz w:val="28"/>
          <w:szCs w:val="28"/>
          <w:shd w:val="clear" w:color="auto" w:fill="auto"/>
          <w14:textFill>
            <w14:solidFill>
              <w14:schemeClr w14:val="tx1"/>
            </w14:solidFill>
          </w14:textFill>
        </w:rPr>
        <w:t>年</w:t>
      </w:r>
      <w:r>
        <w:rPr>
          <w:rFonts w:hint="eastAsia" w:ascii="宋体" w:hAnsi="宋体"/>
          <w:color w:val="000000" w:themeColor="text1"/>
          <w:sz w:val="28"/>
          <w:szCs w:val="28"/>
          <w:shd w:val="clear" w:color="auto" w:fill="auto"/>
          <w:lang w:val="en-US" w:eastAsia="zh-CN"/>
          <w14:textFill>
            <w14:solidFill>
              <w14:schemeClr w14:val="tx1"/>
            </w14:solidFill>
          </w14:textFill>
        </w:rPr>
        <w:t>3</w:t>
      </w:r>
      <w:r>
        <w:rPr>
          <w:rFonts w:hint="eastAsia" w:ascii="宋体" w:hAnsi="宋体"/>
          <w:color w:val="000000" w:themeColor="text1"/>
          <w:sz w:val="28"/>
          <w:szCs w:val="28"/>
          <w:shd w:val="clear" w:color="auto" w:fill="auto"/>
          <w14:textFill>
            <w14:solidFill>
              <w14:schemeClr w14:val="tx1"/>
            </w14:solidFill>
          </w14:textFill>
        </w:rPr>
        <w:t>月</w:t>
      </w:r>
      <w:r>
        <w:rPr>
          <w:rFonts w:hint="eastAsia" w:ascii="宋体" w:hAnsi="宋体"/>
          <w:color w:val="000000" w:themeColor="text1"/>
          <w:sz w:val="28"/>
          <w:szCs w:val="28"/>
          <w:shd w:val="clear" w:color="auto" w:fill="auto"/>
          <w:lang w:val="en-US" w:eastAsia="zh-CN"/>
          <w14:textFill>
            <w14:solidFill>
              <w14:schemeClr w14:val="tx1"/>
            </w14:solidFill>
          </w14:textFill>
        </w:rPr>
        <w:t>14</w:t>
      </w:r>
      <w:r>
        <w:rPr>
          <w:rFonts w:hint="eastAsia" w:ascii="宋体" w:hAnsi="宋体"/>
          <w:color w:val="000000" w:themeColor="text1"/>
          <w:sz w:val="28"/>
          <w:szCs w:val="28"/>
          <w:shd w:val="clear" w:color="auto" w:fill="auto"/>
          <w14:textFill>
            <w14:solidFill>
              <w14:schemeClr w14:val="tx1"/>
            </w14:solidFill>
          </w14:textFill>
        </w:rPr>
        <w:t>日到</w:t>
      </w:r>
      <w:r>
        <w:rPr>
          <w:rFonts w:hint="eastAsia" w:ascii="宋体" w:hAnsi="宋体"/>
          <w:color w:val="000000" w:themeColor="text1"/>
          <w:sz w:val="28"/>
          <w:szCs w:val="28"/>
          <w:shd w:val="clear" w:color="auto" w:fill="auto"/>
          <w:lang w:val="en-US" w:eastAsia="zh-CN"/>
          <w14:textFill>
            <w14:solidFill>
              <w14:schemeClr w14:val="tx1"/>
            </w14:solidFill>
          </w14:textFill>
        </w:rPr>
        <w:t>兰坪</w:t>
      </w:r>
      <w:r>
        <w:rPr>
          <w:rFonts w:hint="eastAsia" w:ascii="宋体" w:hAnsi="宋体"/>
          <w:color w:val="000000" w:themeColor="text1"/>
          <w:sz w:val="28"/>
          <w:szCs w:val="28"/>
          <w:shd w:val="clear" w:color="auto" w:fill="auto"/>
          <w14:textFill>
            <w14:solidFill>
              <w14:schemeClr w14:val="tx1"/>
            </w14:solidFill>
          </w14:textFill>
        </w:rPr>
        <w:t>县应急管理</w:t>
      </w:r>
      <w:r>
        <w:rPr>
          <w:rFonts w:hint="eastAsia" w:ascii="宋体" w:hAnsi="宋体" w:eastAsia="宋体" w:cs="宋体"/>
          <w:color w:val="000000" w:themeColor="text1"/>
          <w:sz w:val="28"/>
          <w:szCs w:val="28"/>
          <w:shd w:val="clear" w:color="auto" w:fill="auto"/>
          <w14:textFill>
            <w14:solidFill>
              <w14:schemeClr w14:val="tx1"/>
            </w14:solidFill>
          </w14:textFill>
        </w:rPr>
        <w:t>局进行了备案。备案编号</w:t>
      </w:r>
      <w:r>
        <w:rPr>
          <w:rFonts w:hint="eastAsia" w:ascii="宋体" w:hAnsi="宋体" w:eastAsia="宋体" w:cs="宋体"/>
          <w:i w:val="0"/>
          <w:iCs w:val="0"/>
          <w:caps w:val="0"/>
          <w:spacing w:val="0"/>
          <w:sz w:val="28"/>
          <w:szCs w:val="28"/>
          <w:shd w:val="clear" w:fill="FFFFFF"/>
        </w:rPr>
        <w:t>533325-2023-000</w:t>
      </w:r>
      <w:r>
        <w:rPr>
          <w:rFonts w:hint="eastAsia" w:ascii="宋体" w:hAnsi="宋体" w:eastAsia="宋体" w:cs="宋体"/>
          <w:i w:val="0"/>
          <w:iCs w:val="0"/>
          <w:caps w:val="0"/>
          <w:spacing w:val="0"/>
          <w:sz w:val="28"/>
          <w:szCs w:val="28"/>
          <w:shd w:val="clear" w:fill="FFFFFF"/>
          <w:lang w:val="en-US" w:eastAsia="zh-CN"/>
        </w:rPr>
        <w:t>1</w:t>
      </w:r>
      <w:r>
        <w:rPr>
          <w:rFonts w:hint="eastAsia" w:ascii="宋体" w:hAnsi="宋体" w:eastAsia="宋体" w:cs="宋体"/>
          <w:color w:val="000000" w:themeColor="text1"/>
          <w:sz w:val="28"/>
          <w:szCs w:val="28"/>
          <w:shd w:val="clear" w:color="auto" w:fill="auto"/>
          <w14:textFill>
            <w14:solidFill>
              <w14:schemeClr w14:val="tx1"/>
            </w14:solidFill>
          </w14:textFill>
        </w:rPr>
        <w:t>号</w:t>
      </w:r>
      <w:bookmarkStart w:id="199" w:name="_Toc7968"/>
      <w:bookmarkStart w:id="200" w:name="_Toc8120"/>
      <w:r>
        <w:rPr>
          <w:rFonts w:hint="eastAsia" w:ascii="宋体" w:hAnsi="宋体" w:eastAsia="宋体" w:cs="宋体"/>
          <w:color w:val="000000" w:themeColor="text1"/>
          <w:sz w:val="28"/>
          <w:szCs w:val="28"/>
          <w:shd w:val="clear" w:color="auto" w:fill="auto"/>
          <w:lang w:eastAsia="zh-CN"/>
          <w14:textFill>
            <w14:solidFill>
              <w14:schemeClr w14:val="tx1"/>
            </w14:solidFill>
          </w14:textFill>
        </w:rPr>
        <w:t>，</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详见附件8。</w:t>
      </w:r>
    </w:p>
    <w:p w14:paraId="2D707182">
      <w:pPr>
        <w:pageBreakBefore w:val="0"/>
        <w:widowControl w:val="0"/>
        <w:kinsoku/>
        <w:wordWrap/>
        <w:overflowPunct/>
        <w:topLinePunct w:val="0"/>
        <w:autoSpaceDE/>
        <w:autoSpaceDN/>
        <w:bidi w:val="0"/>
        <w:adjustRightInd/>
        <w:snapToGrid/>
        <w:spacing w:line="600" w:lineRule="exact"/>
        <w:textAlignment w:val="auto"/>
        <w:outlineLvl w:val="2"/>
        <w:rPr>
          <w:rFonts w:hint="eastAsia" w:ascii="宋体" w:hAnsi="宋体" w:eastAsia="宋体" w:cs="宋体"/>
          <w:b/>
          <w:bCs/>
          <w:color w:val="000000"/>
          <w:kern w:val="3"/>
          <w:sz w:val="30"/>
          <w:szCs w:val="30"/>
        </w:rPr>
      </w:pPr>
      <w:bookmarkStart w:id="201" w:name="_Toc7078"/>
      <w:bookmarkStart w:id="202" w:name="_Toc13973"/>
      <w:bookmarkStart w:id="203" w:name="_Toc13539"/>
      <w:r>
        <w:rPr>
          <w:rFonts w:hint="eastAsia" w:ascii="宋体" w:hAnsi="宋体" w:eastAsia="宋体" w:cs="宋体"/>
          <w:b/>
          <w:bCs/>
          <w:color w:val="000000"/>
          <w:kern w:val="3"/>
          <w:sz w:val="30"/>
          <w:szCs w:val="30"/>
        </w:rPr>
        <w:t>2.</w:t>
      </w:r>
      <w:r>
        <w:rPr>
          <w:rFonts w:hint="eastAsia" w:ascii="宋体" w:hAnsi="宋体" w:eastAsia="宋体" w:cs="宋体"/>
          <w:b/>
          <w:bCs/>
          <w:color w:val="000000"/>
          <w:kern w:val="3"/>
          <w:sz w:val="30"/>
          <w:szCs w:val="30"/>
          <w:lang w:val="en-US" w:eastAsia="zh-CN"/>
        </w:rPr>
        <w:t>7</w:t>
      </w:r>
      <w:r>
        <w:rPr>
          <w:rFonts w:hint="eastAsia" w:ascii="宋体" w:hAnsi="宋体" w:eastAsia="宋体" w:cs="宋体"/>
          <w:b/>
          <w:bCs/>
          <w:color w:val="000000"/>
          <w:kern w:val="3"/>
          <w:sz w:val="30"/>
          <w:szCs w:val="30"/>
        </w:rPr>
        <w:t>.4特殊作业情况</w:t>
      </w:r>
      <w:bookmarkEnd w:id="199"/>
      <w:bookmarkEnd w:id="200"/>
      <w:bookmarkEnd w:id="201"/>
      <w:bookmarkEnd w:id="202"/>
      <w:bookmarkEnd w:id="203"/>
    </w:p>
    <w:p w14:paraId="3F091F23">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根据</w:t>
      </w:r>
      <w:r>
        <w:rPr>
          <w:rFonts w:hint="eastAsia" w:ascii="宋体" w:hAnsi="宋体" w:eastAsia="宋体" w:cs="宋体"/>
          <w:i w:val="0"/>
          <w:iCs w:val="0"/>
          <w:caps w:val="0"/>
          <w:spacing w:val="0"/>
          <w:sz w:val="28"/>
          <w:szCs w:val="28"/>
          <w:shd w:val="clear" w:fill="FFFFFF"/>
        </w:rPr>
        <w:t>《危险化学品企业特殊作业安全规范》（GB30871-2022）</w:t>
      </w:r>
      <w:r>
        <w:rPr>
          <w:rFonts w:hint="eastAsia" w:ascii="宋体" w:hAnsi="宋体" w:cs="宋体"/>
          <w:color w:val="000000"/>
          <w:sz w:val="28"/>
          <w:szCs w:val="28"/>
          <w:lang w:eastAsia="zh-CN"/>
        </w:rPr>
        <w:t>宏源加油站</w:t>
      </w:r>
      <w:r>
        <w:rPr>
          <w:rFonts w:hint="eastAsia" w:ascii="宋体" w:hAnsi="宋体" w:eastAsia="宋体" w:cs="宋体"/>
          <w:color w:val="000000"/>
          <w:sz w:val="28"/>
          <w:szCs w:val="28"/>
        </w:rPr>
        <w:t>属于易燃易爆场所，加油站所涉及的特殊作业有：动火作业、进入受限空间作业、高处作业、临时用电作业等。</w:t>
      </w:r>
      <w:bookmarkStart w:id="204" w:name="_Toc15279"/>
      <w:bookmarkStart w:id="205" w:name="_Toc6291"/>
      <w:bookmarkStart w:id="206" w:name="_Toc17216"/>
      <w:bookmarkStart w:id="207" w:name="_Toc14279"/>
    </w:p>
    <w:p w14:paraId="2B5D92DA">
      <w:pPr>
        <w:keepNext w:val="0"/>
        <w:keepLines w:val="0"/>
        <w:pageBreakBefore w:val="0"/>
        <w:widowControl w:val="0"/>
        <w:kinsoku/>
        <w:wordWrap/>
        <w:overflowPunct/>
        <w:topLinePunct w:val="0"/>
        <w:autoSpaceDE/>
        <w:autoSpaceDN/>
        <w:bidi w:val="0"/>
        <w:adjustRightInd/>
        <w:snapToGrid/>
        <w:spacing w:line="600" w:lineRule="exact"/>
        <w:textAlignment w:val="auto"/>
        <w:outlineLvl w:val="2"/>
        <w:rPr>
          <w:rFonts w:hint="eastAsia" w:ascii="宋体" w:hAnsi="宋体" w:eastAsia="宋体" w:cs="宋体"/>
          <w:b/>
          <w:bCs/>
          <w:color w:val="000000"/>
          <w:kern w:val="3"/>
          <w:sz w:val="30"/>
          <w:szCs w:val="30"/>
        </w:rPr>
      </w:pPr>
      <w:bookmarkStart w:id="208" w:name="_Toc2671"/>
      <w:r>
        <w:rPr>
          <w:rFonts w:hint="eastAsia" w:ascii="宋体" w:hAnsi="宋体" w:eastAsia="宋体" w:cs="宋体"/>
          <w:b/>
          <w:bCs/>
          <w:color w:val="000000"/>
          <w:kern w:val="3"/>
          <w:sz w:val="30"/>
          <w:szCs w:val="30"/>
        </w:rPr>
        <w:t>2.</w:t>
      </w:r>
      <w:r>
        <w:rPr>
          <w:rFonts w:hint="eastAsia" w:ascii="宋体" w:hAnsi="宋体" w:eastAsia="宋体" w:cs="宋体"/>
          <w:b/>
          <w:bCs/>
          <w:color w:val="000000"/>
          <w:kern w:val="3"/>
          <w:sz w:val="30"/>
          <w:szCs w:val="30"/>
          <w:lang w:val="en-US" w:eastAsia="zh-CN"/>
        </w:rPr>
        <w:t>7</w:t>
      </w:r>
      <w:r>
        <w:rPr>
          <w:rFonts w:hint="eastAsia" w:ascii="宋体" w:hAnsi="宋体" w:eastAsia="宋体" w:cs="宋体"/>
          <w:b/>
          <w:bCs/>
          <w:color w:val="000000"/>
          <w:kern w:val="3"/>
          <w:sz w:val="30"/>
          <w:szCs w:val="30"/>
        </w:rPr>
        <w:t>.5从业人员保险及劳动保护</w:t>
      </w:r>
      <w:bookmarkEnd w:id="204"/>
      <w:bookmarkEnd w:id="205"/>
      <w:bookmarkEnd w:id="206"/>
      <w:bookmarkEnd w:id="207"/>
      <w:bookmarkEnd w:id="208"/>
    </w:p>
    <w:p w14:paraId="5EFC2B6B">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1．保险：加油站为员工购买了团体意外伤害保险。</w:t>
      </w:r>
    </w:p>
    <w:p w14:paraId="006F7A22">
      <w:pPr>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2．劳保用品：公司为从业人员发放的劳保用品有：防静电工作服、绝缘手套、洗衣粉、肥皂、毛巾等物品。</w:t>
      </w:r>
    </w:p>
    <w:p w14:paraId="5206C7A7">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b/>
          <w:sz w:val="30"/>
          <w:szCs w:val="30"/>
          <w:lang w:val="en-US" w:eastAsia="zh-CN"/>
        </w:rPr>
      </w:pPr>
      <w:bookmarkStart w:id="209" w:name="_Toc16272"/>
      <w:bookmarkStart w:id="210" w:name="_Toc32632"/>
      <w:bookmarkStart w:id="211" w:name="_Toc29705"/>
      <w:r>
        <w:rPr>
          <w:rFonts w:hint="eastAsia" w:ascii="宋体" w:hAnsi="宋体"/>
          <w:color w:val="000000"/>
          <w:sz w:val="30"/>
          <w:szCs w:val="30"/>
          <w:lang w:val="en-US" w:eastAsia="zh-CN"/>
        </w:rPr>
        <w:t>2.7.6</w:t>
      </w:r>
      <w:r>
        <w:rPr>
          <w:rFonts w:hint="eastAsia"/>
          <w:b/>
          <w:sz w:val="30"/>
          <w:szCs w:val="30"/>
          <w:lang w:val="en-US" w:eastAsia="zh-CN"/>
        </w:rPr>
        <w:t>安全标准化</w:t>
      </w:r>
      <w:bookmarkEnd w:id="209"/>
      <w:bookmarkEnd w:id="210"/>
      <w:bookmarkEnd w:id="211"/>
    </w:p>
    <w:p w14:paraId="2C18AA6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default" w:ascii="宋体" w:hAnsi="宋体" w:eastAsia="宋体" w:cs="宋体"/>
          <w:color w:val="000000" w:themeColor="text1"/>
          <w:kern w:val="0"/>
          <w:sz w:val="28"/>
          <w:szCs w:val="28"/>
          <w:lang w:val="en-US" w:eastAsia="zh-CN"/>
          <w14:textFill>
            <w14:solidFill>
              <w14:schemeClr w14:val="tx1"/>
            </w14:solidFill>
          </w14:textFill>
        </w:rPr>
        <w:t>该加油站于20</w:t>
      </w:r>
      <w:r>
        <w:rPr>
          <w:rFonts w:hint="eastAsia" w:ascii="宋体" w:hAnsi="宋体" w:eastAsia="宋体" w:cs="宋体"/>
          <w:color w:val="000000" w:themeColor="text1"/>
          <w:kern w:val="0"/>
          <w:sz w:val="28"/>
          <w:szCs w:val="28"/>
          <w:lang w:val="en-US" w:eastAsia="zh-CN"/>
          <w14:textFill>
            <w14:solidFill>
              <w14:schemeClr w14:val="tx1"/>
            </w14:solidFill>
          </w14:textFill>
        </w:rPr>
        <w:t>23</w:t>
      </w:r>
      <w:r>
        <w:rPr>
          <w:rFonts w:hint="default" w:ascii="宋体" w:hAnsi="宋体" w:eastAsia="宋体" w:cs="宋体"/>
          <w:color w:val="000000" w:themeColor="text1"/>
          <w:kern w:val="0"/>
          <w:sz w:val="28"/>
          <w:szCs w:val="28"/>
          <w:lang w:val="en-US" w:eastAsia="zh-CN"/>
          <w14:textFill>
            <w14:solidFill>
              <w14:schemeClr w14:val="tx1"/>
            </w14:solidFill>
          </w14:textFill>
        </w:rPr>
        <w:t>年</w:t>
      </w:r>
      <w:r>
        <w:rPr>
          <w:rFonts w:hint="eastAsia" w:ascii="宋体" w:hAnsi="宋体" w:cs="宋体"/>
          <w:color w:val="000000" w:themeColor="text1"/>
          <w:kern w:val="0"/>
          <w:sz w:val="28"/>
          <w:szCs w:val="28"/>
          <w:lang w:val="en-US" w:eastAsia="zh-CN"/>
          <w14:textFill>
            <w14:solidFill>
              <w14:schemeClr w14:val="tx1"/>
            </w14:solidFill>
          </w14:textFill>
        </w:rPr>
        <w:t>7</w:t>
      </w:r>
      <w:r>
        <w:rPr>
          <w:rFonts w:hint="default" w:ascii="宋体" w:hAnsi="宋体" w:eastAsia="宋体" w:cs="宋体"/>
          <w:color w:val="000000" w:themeColor="text1"/>
          <w:kern w:val="0"/>
          <w:sz w:val="28"/>
          <w:szCs w:val="28"/>
          <w:lang w:val="en-US" w:eastAsia="zh-CN"/>
          <w14:textFill>
            <w14:solidFill>
              <w14:schemeClr w14:val="tx1"/>
            </w14:solidFill>
          </w14:textFill>
        </w:rPr>
        <w:t>月</w:t>
      </w:r>
      <w:r>
        <w:rPr>
          <w:rFonts w:hint="eastAsia" w:ascii="宋体" w:hAnsi="宋体" w:eastAsia="宋体" w:cs="宋体"/>
          <w:color w:val="000000" w:themeColor="text1"/>
          <w:kern w:val="0"/>
          <w:sz w:val="28"/>
          <w:szCs w:val="28"/>
          <w:lang w:val="en-US" w:eastAsia="zh-CN"/>
          <w14:textFill>
            <w14:solidFill>
              <w14:schemeClr w14:val="tx1"/>
            </w14:solidFill>
          </w14:textFill>
        </w:rPr>
        <w:t>取得三级安全标准化证书（证书编号:</w:t>
      </w:r>
      <w:r>
        <w:rPr>
          <w:rFonts w:hint="default" w:ascii="宋体" w:hAnsi="宋体" w:eastAsia="宋体" w:cs="宋体"/>
          <w:color w:val="000000" w:themeColor="text1"/>
          <w:kern w:val="0"/>
          <w:sz w:val="28"/>
          <w:szCs w:val="28"/>
          <w:lang w:val="en-US" w:eastAsia="zh-CN"/>
          <w14:textFill>
            <w14:solidFill>
              <w14:schemeClr w14:val="tx1"/>
            </w14:solidFill>
          </w14:textFill>
        </w:rPr>
        <w:t>云 AQB5333WHⅢ202000003</w:t>
      </w:r>
      <w:r>
        <w:rPr>
          <w:rFonts w:hint="eastAsia" w:ascii="宋体" w:hAnsi="宋体" w:eastAsia="宋体" w:cs="宋体"/>
          <w:color w:val="000000" w:themeColor="text1"/>
          <w:kern w:val="0"/>
          <w:sz w:val="28"/>
          <w:szCs w:val="28"/>
          <w:lang w:val="en-US" w:eastAsia="zh-CN"/>
          <w14:textFill>
            <w14:solidFill>
              <w14:schemeClr w14:val="tx1"/>
            </w14:solidFill>
          </w14:textFill>
        </w:rPr>
        <w:t>）。</w:t>
      </w:r>
    </w:p>
    <w:p w14:paraId="77897DB8">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2147483648"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212" w:name="_Toc31889"/>
      <w:bookmarkStart w:id="213" w:name="_Toc12100"/>
      <w:bookmarkStart w:id="214" w:name="_Toc4572"/>
      <w:bookmarkStart w:id="215" w:name="_Toc23566"/>
      <w:r>
        <w:rPr>
          <w:rFonts w:hint="eastAsia" w:ascii="宋体" w:hAnsi="宋体" w:eastAsia="宋体" w:cs="宋体"/>
          <w:b/>
          <w:smallCaps/>
          <w:color w:val="auto"/>
          <w:kern w:val="0"/>
          <w:sz w:val="32"/>
          <w:szCs w:val="32"/>
          <w:lang w:val="en-US" w:eastAsia="zh-CN"/>
        </w:rPr>
        <w:t>2.8上次取证以来的变化情况</w:t>
      </w:r>
      <w:bookmarkEnd w:id="212"/>
      <w:bookmarkEnd w:id="213"/>
      <w:bookmarkEnd w:id="214"/>
      <w:bookmarkEnd w:id="215"/>
    </w:p>
    <w:p w14:paraId="11EC78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该加油站自202</w:t>
      </w:r>
      <w:r>
        <w:rPr>
          <w:rFonts w:hint="eastAsia" w:ascii="宋体" w:hAnsi="宋体" w:cs="宋体"/>
          <w:color w:val="auto"/>
          <w:kern w:val="0"/>
          <w:sz w:val="28"/>
          <w:szCs w:val="28"/>
          <w:lang w:val="en-US" w:eastAsia="zh-CN"/>
        </w:rPr>
        <w:t>2</w:t>
      </w:r>
      <w:r>
        <w:rPr>
          <w:rFonts w:hint="default" w:ascii="宋体" w:hAnsi="宋体" w:eastAsia="宋体" w:cs="宋体"/>
          <w:color w:val="auto"/>
          <w:kern w:val="0"/>
          <w:sz w:val="28"/>
          <w:szCs w:val="28"/>
          <w:lang w:val="en-US" w:eastAsia="zh-CN"/>
        </w:rPr>
        <w:t>年</w:t>
      </w:r>
      <w:r>
        <w:rPr>
          <w:rFonts w:hint="eastAsia" w:ascii="宋体" w:hAnsi="宋体" w:cs="宋体"/>
          <w:color w:val="auto"/>
          <w:kern w:val="0"/>
          <w:sz w:val="28"/>
          <w:szCs w:val="28"/>
          <w:lang w:val="en-US" w:eastAsia="zh-CN"/>
        </w:rPr>
        <w:t>6</w:t>
      </w:r>
      <w:r>
        <w:rPr>
          <w:rFonts w:hint="default" w:ascii="宋体" w:hAnsi="宋体" w:eastAsia="宋体" w:cs="宋体"/>
          <w:color w:val="auto"/>
          <w:kern w:val="0"/>
          <w:sz w:val="28"/>
          <w:szCs w:val="28"/>
          <w:lang w:val="en-US" w:eastAsia="zh-CN"/>
        </w:rPr>
        <w:t>月</w:t>
      </w:r>
      <w:r>
        <w:rPr>
          <w:rFonts w:hint="eastAsia" w:ascii="宋体" w:hAnsi="宋体" w:cs="宋体"/>
          <w:color w:val="auto"/>
          <w:kern w:val="0"/>
          <w:sz w:val="28"/>
          <w:szCs w:val="28"/>
          <w:lang w:val="en-US" w:eastAsia="zh-CN"/>
        </w:rPr>
        <w:t>29</w:t>
      </w:r>
      <w:r>
        <w:rPr>
          <w:rFonts w:hint="default" w:ascii="宋体" w:hAnsi="宋体" w:eastAsia="宋体" w:cs="宋体"/>
          <w:color w:val="auto"/>
          <w:kern w:val="0"/>
          <w:sz w:val="28"/>
          <w:szCs w:val="28"/>
          <w:lang w:val="en-US" w:eastAsia="zh-CN"/>
        </w:rPr>
        <w:t>日取得《危险化学品经营许可证》以来，加油站的主要变化情况如下：</w:t>
      </w:r>
    </w:p>
    <w:p w14:paraId="67FE91EC">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（1）该加油站自上次取证以来至</w:t>
      </w:r>
      <w:r>
        <w:rPr>
          <w:rFonts w:hint="eastAsia" w:ascii="宋体" w:hAnsi="宋体" w:cs="宋体"/>
          <w:color w:val="auto"/>
          <w:kern w:val="0"/>
          <w:sz w:val="28"/>
          <w:szCs w:val="28"/>
          <w:lang w:val="en-US" w:eastAsia="zh-CN"/>
        </w:rPr>
        <w:t>评价基准日</w:t>
      </w:r>
      <w:r>
        <w:rPr>
          <w:rFonts w:hint="default" w:ascii="宋体" w:hAnsi="宋体" w:eastAsia="宋体" w:cs="宋体"/>
          <w:color w:val="auto"/>
          <w:kern w:val="0"/>
          <w:sz w:val="28"/>
          <w:szCs w:val="28"/>
          <w:lang w:val="en-US" w:eastAsia="zh-CN"/>
        </w:rPr>
        <w:t>，未发生过人员伤亡、油品泄漏等生产安全事故。</w:t>
      </w:r>
    </w:p>
    <w:p w14:paraId="2E1C78D3">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（2）</w:t>
      </w:r>
      <w:r>
        <w:rPr>
          <w:rFonts w:hint="eastAsia" w:ascii="宋体" w:hAnsi="宋体"/>
          <w:color w:val="000000"/>
          <w:sz w:val="28"/>
        </w:rPr>
        <w:t>加油站从业人员发生了变更。</w:t>
      </w:r>
    </w:p>
    <w:p w14:paraId="03CB3728">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b/>
          <w:sz w:val="44"/>
          <w:szCs w:val="44"/>
          <w:lang w:val="en-US" w:eastAsia="zh-CN"/>
        </w:rPr>
      </w:pPr>
      <w:r>
        <w:rPr>
          <w:rFonts w:hint="default" w:ascii="宋体" w:hAnsi="宋体" w:eastAsia="宋体" w:cs="宋体"/>
          <w:color w:val="auto"/>
          <w:kern w:val="0"/>
          <w:sz w:val="28"/>
          <w:szCs w:val="28"/>
          <w:lang w:val="en-US" w:eastAsia="zh-CN"/>
        </w:rPr>
        <w:t>（</w:t>
      </w:r>
      <w:r>
        <w:rPr>
          <w:rFonts w:hint="eastAsia" w:ascii="宋体" w:hAnsi="宋体" w:cs="宋体"/>
          <w:color w:val="auto"/>
          <w:kern w:val="0"/>
          <w:sz w:val="28"/>
          <w:szCs w:val="28"/>
          <w:lang w:val="en-US" w:eastAsia="zh-CN"/>
        </w:rPr>
        <w:t>3</w:t>
      </w:r>
      <w:r>
        <w:rPr>
          <w:rFonts w:hint="default" w:ascii="宋体" w:hAnsi="宋体" w:eastAsia="宋体" w:cs="宋体"/>
          <w:color w:val="auto"/>
          <w:kern w:val="0"/>
          <w:sz w:val="28"/>
          <w:szCs w:val="28"/>
          <w:lang w:val="en-US" w:eastAsia="zh-CN"/>
        </w:rPr>
        <w:t>）周边环境未发生变化。</w:t>
      </w:r>
    </w:p>
    <w:p w14:paraId="2A2716D8">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pPr>
    </w:p>
    <w:p w14:paraId="71C5A2EF">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pPr>
    </w:p>
    <w:p w14:paraId="08520BF5">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pPr>
    </w:p>
    <w:p w14:paraId="25E38817">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pPr>
    </w:p>
    <w:p w14:paraId="0CFE17E7">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z w:val="44"/>
          <w:szCs w:val="44"/>
          <w:lang w:val="en-US" w:eastAsia="zh-CN"/>
        </w:rPr>
      </w:pPr>
    </w:p>
    <w:p w14:paraId="4D983DF6">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both"/>
        <w:textAlignment w:val="auto"/>
        <w:outlineLvl w:val="0"/>
        <w:rPr>
          <w:rFonts w:hint="eastAsia" w:ascii="宋体" w:hAnsi="宋体" w:eastAsia="宋体" w:cs="宋体"/>
          <w:b/>
          <w:sz w:val="44"/>
          <w:szCs w:val="44"/>
          <w:lang w:val="en-US" w:eastAsia="zh-CN"/>
        </w:rPr>
      </w:pPr>
    </w:p>
    <w:p w14:paraId="2A36DA35">
      <w:pPr>
        <w:rPr>
          <w:rFonts w:hint="eastAsia" w:ascii="宋体" w:hAnsi="宋体" w:eastAsia="宋体" w:cs="宋体"/>
          <w:b/>
          <w:sz w:val="44"/>
          <w:szCs w:val="44"/>
          <w:lang w:val="en-US" w:eastAsia="zh-CN"/>
        </w:rPr>
      </w:pPr>
    </w:p>
    <w:p w14:paraId="0BF68251">
      <w:pPr>
        <w:rPr>
          <w:rFonts w:hint="eastAsia" w:ascii="宋体" w:hAnsi="宋体" w:eastAsia="宋体" w:cs="宋体"/>
          <w:b/>
          <w:sz w:val="44"/>
          <w:szCs w:val="44"/>
          <w:lang w:val="en-US" w:eastAsia="zh-CN"/>
        </w:rPr>
      </w:pPr>
    </w:p>
    <w:p w14:paraId="0EC9D14F">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500" w:lineRule="exact"/>
        <w:jc w:val="center"/>
        <w:textAlignment w:val="auto"/>
        <w:outlineLvl w:val="0"/>
        <w:rPr>
          <w:rFonts w:hint="eastAsia" w:ascii="宋体" w:hAnsi="宋体" w:eastAsia="宋体" w:cs="宋体"/>
          <w:b/>
          <w:smallCaps/>
          <w:color w:val="auto"/>
          <w:kern w:val="0"/>
          <w:sz w:val="44"/>
          <w:szCs w:val="44"/>
          <w:lang w:val="en-US" w:eastAsia="zh-CN"/>
        </w:rPr>
      </w:pPr>
      <w:bookmarkStart w:id="216" w:name="_Toc30544"/>
      <w:r>
        <w:rPr>
          <w:rFonts w:hint="eastAsia" w:ascii="宋体" w:hAnsi="宋体" w:eastAsia="宋体" w:cs="宋体"/>
          <w:b/>
          <w:sz w:val="44"/>
          <w:szCs w:val="44"/>
          <w:lang w:val="en-US" w:eastAsia="zh-CN"/>
        </w:rPr>
        <w:t>第3章危险、有害因素辨识</w:t>
      </w:r>
      <w:bookmarkEnd w:id="78"/>
      <w:bookmarkEnd w:id="216"/>
    </w:p>
    <w:p w14:paraId="31B7BAD4">
      <w:pPr>
        <w:pStyle w:val="3"/>
        <w:keepNext w:val="0"/>
        <w:keepLines w:val="0"/>
        <w:pageBreakBefore w:val="0"/>
        <w:widowControl w:val="0"/>
        <w:tabs>
          <w:tab w:val="left" w:pos="8610"/>
        </w:tabs>
        <w:kinsoku/>
        <w:wordWrap/>
        <w:overflowPunct/>
        <w:topLinePunct w:val="0"/>
        <w:autoSpaceDE/>
        <w:autoSpaceDN/>
        <w:bidi w:val="0"/>
        <w:adjustRightInd w:val="0"/>
        <w:snapToGrid w:val="0"/>
        <w:spacing w:before="313" w:beforeLines="10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217" w:name="_Toc1758"/>
      <w:bookmarkStart w:id="218" w:name="_Toc12981"/>
      <w:bookmarkStart w:id="219" w:name="_Toc23807"/>
      <w:r>
        <w:rPr>
          <w:rFonts w:hint="eastAsia" w:ascii="宋体" w:hAnsi="宋体" w:eastAsia="宋体" w:cs="宋体"/>
          <w:b/>
          <w:smallCaps/>
          <w:color w:val="auto"/>
          <w:kern w:val="0"/>
          <w:sz w:val="32"/>
          <w:szCs w:val="32"/>
          <w:lang w:val="en-US" w:eastAsia="zh-CN"/>
        </w:rPr>
        <w:t>3.1加油站油品危险特性分析</w:t>
      </w:r>
      <w:bookmarkEnd w:id="217"/>
      <w:bookmarkEnd w:id="218"/>
      <w:bookmarkEnd w:id="219"/>
    </w:p>
    <w:p w14:paraId="48D586BF">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lang w:val="en-US" w:eastAsia="zh-CN"/>
        </w:rPr>
      </w:pPr>
      <w:bookmarkStart w:id="220" w:name="_Toc23648"/>
      <w:bookmarkStart w:id="221" w:name="_Toc10397"/>
      <w:bookmarkStart w:id="222" w:name="_Toc27651"/>
      <w:bookmarkStart w:id="223" w:name="_Toc9564"/>
      <w:r>
        <w:rPr>
          <w:rFonts w:hint="eastAsia" w:ascii="宋体" w:hAnsi="宋体" w:eastAsia="宋体" w:cs="宋体"/>
          <w:b/>
          <w:lang w:val="en-US" w:eastAsia="zh-CN"/>
        </w:rPr>
        <w:t>3.1.1危险有害特性分类</w:t>
      </w:r>
      <w:bookmarkEnd w:id="220"/>
      <w:bookmarkEnd w:id="221"/>
      <w:bookmarkEnd w:id="222"/>
      <w:bookmarkEnd w:id="223"/>
    </w:p>
    <w:p w14:paraId="3B663CF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该项目为汽车加油站，主要经营92#汽油、95#汽油和0#柴油。</w:t>
      </w:r>
    </w:p>
    <w:p w14:paraId="464FBA9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对照《危险化学品目录》（2015版）和《调整〈危险化学品目录（2015版）〉，将“1674柴油[闭杯闪点≤60℃]”调整为“1674柴油”》（中华人民共和国应急管理部、中华人民共和国工业和信息化部、中华人民共和国公安部等十部委公告2022年第8号），汽油和柴油属于危险化学品。</w:t>
      </w:r>
    </w:p>
    <w:p w14:paraId="3C7D4D6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2、对照《易制毒化学品管理条例》（国务院令653号修正），汽油和柴油不属于易制毒品。</w:t>
      </w:r>
    </w:p>
    <w:p w14:paraId="751F98E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3、对照《易制爆危险化学品名录》（2011年版），汽油和柴油不属于易制爆危险化学品。</w:t>
      </w:r>
    </w:p>
    <w:p w14:paraId="429B4EE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4、对照《剧毒化学品目录》（2015版），汽油和柴油不属于剧毒化学品。</w:t>
      </w:r>
    </w:p>
    <w:p w14:paraId="34DF471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5、对照（安监总管三〔2011〕95号）《首批重点监管的危险化学品名录》和（安监总管三〔2013〕12号）《第二批重点监管危险化学品名录的通知》，汽油属于首批公布的重点监管的危险化学品。</w:t>
      </w:r>
    </w:p>
    <w:p w14:paraId="0BA0F9B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6、对照《特别管控危险化学品目录（第一版）》（应急管理部、工业和信息化部、公安部、交通运输部公告2020年第1号），汽油为特别管控的危险化学品。</w:t>
      </w:r>
    </w:p>
    <w:p w14:paraId="5B4E9AF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据《危险化学品分类信息表》（安监总厅管三〔2015〕80号），该加油站经营的汽油和柴油的危险特性分类见表3-1危险特性分类表。</w:t>
      </w:r>
    </w:p>
    <w:p w14:paraId="05A51089">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宋体" w:hAnsi="宋体" w:eastAsia="宋体" w:cs="宋体"/>
          <w:color w:val="auto"/>
          <w:kern w:val="0"/>
          <w:sz w:val="24"/>
          <w:szCs w:val="24"/>
          <w:lang w:val="en-US" w:eastAsia="zh-CN"/>
        </w:rPr>
      </w:pPr>
    </w:p>
    <w:p w14:paraId="33248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4"/>
          <w:szCs w:val="24"/>
          <w:lang w:val="en-US" w:eastAsia="zh-CN"/>
        </w:rPr>
      </w:pPr>
    </w:p>
    <w:p w14:paraId="6C8E7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4"/>
          <w:szCs w:val="24"/>
          <w:lang w:val="en-US" w:eastAsia="zh-CN"/>
        </w:rPr>
      </w:pPr>
      <w:r>
        <w:rPr>
          <w:rFonts w:hint="default" w:ascii="宋体" w:hAnsi="宋体" w:eastAsia="宋体" w:cs="宋体"/>
          <w:color w:val="auto"/>
          <w:kern w:val="0"/>
          <w:sz w:val="24"/>
          <w:szCs w:val="24"/>
          <w:lang w:val="en-US" w:eastAsia="zh-CN"/>
        </w:rPr>
        <w:t>表</w:t>
      </w:r>
      <w:r>
        <w:rPr>
          <w:rFonts w:hint="eastAsia" w:ascii="宋体" w:hAnsi="宋体" w:eastAsia="宋体" w:cs="宋体"/>
          <w:color w:val="auto"/>
          <w:kern w:val="0"/>
          <w:sz w:val="24"/>
          <w:szCs w:val="24"/>
          <w:lang w:val="en-US" w:eastAsia="zh-CN"/>
        </w:rPr>
        <w:t>3</w:t>
      </w:r>
      <w:r>
        <w:rPr>
          <w:rFonts w:hint="default" w:ascii="宋体" w:hAnsi="宋体" w:eastAsia="宋体" w:cs="宋体"/>
          <w:color w:val="auto"/>
          <w:kern w:val="0"/>
          <w:sz w:val="24"/>
          <w:szCs w:val="24"/>
          <w:lang w:val="en-US" w:eastAsia="zh-CN"/>
        </w:rPr>
        <w:t>-1危险特性分类表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80"/>
        <w:gridCol w:w="720"/>
        <w:gridCol w:w="700"/>
        <w:gridCol w:w="1200"/>
        <w:gridCol w:w="3969"/>
        <w:gridCol w:w="1343"/>
      </w:tblGrid>
      <w:tr w14:paraId="387C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1E535DF6">
            <w:pPr>
              <w:bidi w:val="0"/>
              <w:jc w:val="center"/>
              <w:rPr>
                <w:rFonts w:hint="default"/>
                <w:b/>
                <w:bCs/>
                <w:sz w:val="21"/>
                <w:szCs w:val="21"/>
                <w:lang w:val="en-US" w:eastAsia="zh-CN"/>
              </w:rPr>
            </w:pPr>
            <w:r>
              <w:rPr>
                <w:rFonts w:hint="eastAsia"/>
                <w:b/>
                <w:bCs/>
                <w:sz w:val="21"/>
                <w:szCs w:val="21"/>
                <w:lang w:val="en-US" w:eastAsia="zh-CN"/>
              </w:rPr>
              <w:t>序号</w:t>
            </w:r>
          </w:p>
        </w:tc>
        <w:tc>
          <w:tcPr>
            <w:tcW w:w="780" w:type="dxa"/>
          </w:tcPr>
          <w:p w14:paraId="23194D75">
            <w:pPr>
              <w:bidi w:val="0"/>
              <w:jc w:val="center"/>
              <w:rPr>
                <w:rFonts w:hint="default"/>
                <w:b/>
                <w:bCs/>
                <w:sz w:val="21"/>
                <w:szCs w:val="21"/>
                <w:lang w:val="en-US" w:eastAsia="zh-CN"/>
              </w:rPr>
            </w:pPr>
            <w:r>
              <w:rPr>
                <w:rFonts w:hint="eastAsia"/>
                <w:b/>
                <w:bCs/>
                <w:sz w:val="21"/>
                <w:szCs w:val="21"/>
                <w:lang w:val="en-US" w:eastAsia="zh-CN"/>
              </w:rPr>
              <w:t>编号</w:t>
            </w:r>
          </w:p>
        </w:tc>
        <w:tc>
          <w:tcPr>
            <w:tcW w:w="720" w:type="dxa"/>
          </w:tcPr>
          <w:p w14:paraId="307DA31B">
            <w:pPr>
              <w:bidi w:val="0"/>
              <w:jc w:val="center"/>
              <w:rPr>
                <w:rFonts w:hint="default"/>
                <w:b/>
                <w:bCs/>
                <w:sz w:val="21"/>
                <w:szCs w:val="21"/>
                <w:lang w:val="en-US" w:eastAsia="zh-CN"/>
              </w:rPr>
            </w:pPr>
            <w:r>
              <w:rPr>
                <w:rFonts w:hint="eastAsia"/>
                <w:b/>
                <w:bCs/>
                <w:sz w:val="21"/>
                <w:szCs w:val="21"/>
                <w:lang w:val="en-US" w:eastAsia="zh-CN"/>
              </w:rPr>
              <w:t>品名</w:t>
            </w:r>
          </w:p>
        </w:tc>
        <w:tc>
          <w:tcPr>
            <w:tcW w:w="700" w:type="dxa"/>
          </w:tcPr>
          <w:p w14:paraId="26D46522">
            <w:pPr>
              <w:bidi w:val="0"/>
              <w:jc w:val="center"/>
              <w:rPr>
                <w:rFonts w:hint="default"/>
                <w:b/>
                <w:bCs/>
                <w:sz w:val="21"/>
                <w:szCs w:val="21"/>
                <w:lang w:val="en-US" w:eastAsia="zh-CN"/>
              </w:rPr>
            </w:pPr>
            <w:r>
              <w:rPr>
                <w:rFonts w:hint="eastAsia"/>
                <w:b/>
                <w:bCs/>
                <w:sz w:val="21"/>
                <w:szCs w:val="21"/>
                <w:lang w:val="en-US" w:eastAsia="zh-CN"/>
              </w:rPr>
              <w:t>别名</w:t>
            </w:r>
          </w:p>
        </w:tc>
        <w:tc>
          <w:tcPr>
            <w:tcW w:w="1200" w:type="dxa"/>
            <w:vAlign w:val="top"/>
          </w:tcPr>
          <w:p w14:paraId="2273CA01">
            <w:pPr>
              <w:bidi w:val="0"/>
              <w:jc w:val="center"/>
              <w:rPr>
                <w:rFonts w:hint="default" w:asciiTheme="minorHAnsi" w:hAnsiTheme="minorHAnsi" w:eastAsiaTheme="minorEastAsia" w:cstheme="minorBidi"/>
                <w:b/>
                <w:bCs/>
                <w:kern w:val="2"/>
                <w:sz w:val="21"/>
                <w:szCs w:val="21"/>
                <w:lang w:val="en-US" w:eastAsia="zh-CN" w:bidi="ar-SA"/>
              </w:rPr>
            </w:pPr>
            <w:r>
              <w:rPr>
                <w:rFonts w:hint="eastAsia"/>
                <w:b/>
                <w:bCs/>
                <w:sz w:val="21"/>
                <w:szCs w:val="21"/>
                <w:lang w:val="en-US" w:eastAsia="zh-CN"/>
              </w:rPr>
              <w:t>CAS号</w:t>
            </w:r>
          </w:p>
        </w:tc>
        <w:tc>
          <w:tcPr>
            <w:tcW w:w="3969" w:type="dxa"/>
            <w:vAlign w:val="top"/>
          </w:tcPr>
          <w:p w14:paraId="3F57939C">
            <w:pPr>
              <w:bidi w:val="0"/>
              <w:jc w:val="center"/>
              <w:rPr>
                <w:rFonts w:hint="default" w:asciiTheme="minorHAnsi" w:hAnsiTheme="minorHAnsi" w:eastAsiaTheme="minorEastAsia" w:cstheme="minorBidi"/>
                <w:b/>
                <w:bCs/>
                <w:kern w:val="2"/>
                <w:sz w:val="21"/>
                <w:szCs w:val="21"/>
                <w:lang w:val="en-US" w:eastAsia="zh-CN" w:bidi="ar-SA"/>
              </w:rPr>
            </w:pPr>
            <w:r>
              <w:rPr>
                <w:rFonts w:hint="eastAsia"/>
                <w:b/>
                <w:bCs/>
                <w:sz w:val="21"/>
                <w:szCs w:val="21"/>
                <w:lang w:val="en-US" w:eastAsia="zh-CN"/>
              </w:rPr>
              <w:t>危险特性分类</w:t>
            </w:r>
          </w:p>
        </w:tc>
        <w:tc>
          <w:tcPr>
            <w:tcW w:w="1343" w:type="dxa"/>
            <w:vAlign w:val="top"/>
          </w:tcPr>
          <w:p w14:paraId="386712A1">
            <w:pPr>
              <w:bidi w:val="0"/>
              <w:jc w:val="center"/>
              <w:rPr>
                <w:rFonts w:hint="default" w:asciiTheme="minorHAnsi" w:hAnsiTheme="minorHAnsi" w:eastAsiaTheme="minorEastAsia" w:cstheme="minorBidi"/>
                <w:b/>
                <w:bCs/>
                <w:kern w:val="2"/>
                <w:sz w:val="21"/>
                <w:szCs w:val="21"/>
                <w:lang w:val="en-US" w:eastAsia="zh-CN" w:bidi="ar-SA"/>
              </w:rPr>
            </w:pPr>
            <w:r>
              <w:rPr>
                <w:rFonts w:hint="eastAsia"/>
                <w:b/>
                <w:bCs/>
                <w:sz w:val="21"/>
                <w:szCs w:val="21"/>
                <w:lang w:val="en-US" w:eastAsia="zh-CN"/>
              </w:rPr>
              <w:t>备注</w:t>
            </w:r>
          </w:p>
        </w:tc>
      </w:tr>
      <w:tr w14:paraId="3D31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55087FBB">
            <w:pPr>
              <w:bidi w:val="0"/>
              <w:jc w:val="center"/>
              <w:rPr>
                <w:rFonts w:hint="default"/>
                <w:sz w:val="21"/>
                <w:szCs w:val="21"/>
                <w:lang w:val="en-US" w:eastAsia="zh-CN"/>
              </w:rPr>
            </w:pPr>
            <w:r>
              <w:rPr>
                <w:rFonts w:hint="eastAsia"/>
                <w:sz w:val="21"/>
                <w:szCs w:val="21"/>
                <w:lang w:val="en-US" w:eastAsia="zh-CN"/>
              </w:rPr>
              <w:t>1</w:t>
            </w:r>
          </w:p>
        </w:tc>
        <w:tc>
          <w:tcPr>
            <w:tcW w:w="780" w:type="dxa"/>
            <w:vAlign w:val="center"/>
          </w:tcPr>
          <w:p w14:paraId="1B412B2F">
            <w:pPr>
              <w:bidi w:val="0"/>
              <w:jc w:val="center"/>
              <w:rPr>
                <w:rFonts w:hint="default"/>
                <w:sz w:val="21"/>
                <w:szCs w:val="21"/>
                <w:lang w:val="en-US" w:eastAsia="zh-CN"/>
              </w:rPr>
            </w:pPr>
            <w:r>
              <w:rPr>
                <w:rFonts w:hint="eastAsia"/>
                <w:sz w:val="21"/>
                <w:szCs w:val="21"/>
                <w:lang w:val="en-US" w:eastAsia="zh-CN"/>
              </w:rPr>
              <w:t>1630</w:t>
            </w:r>
          </w:p>
        </w:tc>
        <w:tc>
          <w:tcPr>
            <w:tcW w:w="720" w:type="dxa"/>
            <w:vAlign w:val="center"/>
          </w:tcPr>
          <w:p w14:paraId="099EDDC2">
            <w:pPr>
              <w:bidi w:val="0"/>
              <w:jc w:val="center"/>
              <w:rPr>
                <w:rFonts w:hint="default"/>
                <w:sz w:val="21"/>
                <w:szCs w:val="21"/>
                <w:lang w:val="en-US" w:eastAsia="zh-CN"/>
              </w:rPr>
            </w:pPr>
            <w:r>
              <w:rPr>
                <w:rFonts w:hint="eastAsia"/>
                <w:sz w:val="21"/>
                <w:szCs w:val="21"/>
                <w:lang w:val="en-US" w:eastAsia="zh-CN"/>
              </w:rPr>
              <w:t>汽油</w:t>
            </w:r>
          </w:p>
        </w:tc>
        <w:tc>
          <w:tcPr>
            <w:tcW w:w="700" w:type="dxa"/>
            <w:vAlign w:val="center"/>
          </w:tcPr>
          <w:p w14:paraId="3041009B">
            <w:pPr>
              <w:bidi w:val="0"/>
              <w:jc w:val="center"/>
              <w:rPr>
                <w:rFonts w:hint="default"/>
                <w:sz w:val="21"/>
                <w:szCs w:val="21"/>
                <w:lang w:val="en-US" w:eastAsia="zh-CN"/>
              </w:rPr>
            </w:pPr>
            <w:r>
              <w:rPr>
                <w:rFonts w:hint="eastAsia"/>
                <w:sz w:val="21"/>
                <w:szCs w:val="21"/>
                <w:lang w:val="en-US" w:eastAsia="zh-CN"/>
              </w:rPr>
              <w:t>/</w:t>
            </w:r>
          </w:p>
        </w:tc>
        <w:tc>
          <w:tcPr>
            <w:tcW w:w="1200" w:type="dxa"/>
            <w:vAlign w:val="center"/>
          </w:tcPr>
          <w:p w14:paraId="7E9E941B">
            <w:pPr>
              <w:bidi w:val="0"/>
              <w:jc w:val="center"/>
              <w:rPr>
                <w:rFonts w:hint="default"/>
                <w:sz w:val="21"/>
                <w:szCs w:val="21"/>
                <w:lang w:val="en-US" w:eastAsia="zh-CN"/>
              </w:rPr>
            </w:pPr>
            <w:r>
              <w:rPr>
                <w:rFonts w:hint="eastAsia"/>
                <w:sz w:val="21"/>
                <w:szCs w:val="21"/>
                <w:lang w:val="en-US" w:eastAsia="zh-CN"/>
              </w:rPr>
              <w:t>86290-81-5</w:t>
            </w:r>
          </w:p>
        </w:tc>
        <w:tc>
          <w:tcPr>
            <w:tcW w:w="3969" w:type="dxa"/>
            <w:vAlign w:val="center"/>
          </w:tcPr>
          <w:p w14:paraId="21CB1C7C">
            <w:pPr>
              <w:bidi w:val="0"/>
              <w:jc w:val="left"/>
              <w:rPr>
                <w:rFonts w:hint="default"/>
                <w:sz w:val="21"/>
                <w:szCs w:val="21"/>
                <w:lang w:val="en-US" w:eastAsia="zh-CN"/>
              </w:rPr>
            </w:pPr>
            <w:r>
              <w:rPr>
                <w:rFonts w:hint="default"/>
                <w:sz w:val="21"/>
                <w:szCs w:val="21"/>
                <w:lang w:val="en-US" w:eastAsia="zh-CN"/>
              </w:rPr>
              <w:t>易燃液体类别</w:t>
            </w:r>
            <w:r>
              <w:rPr>
                <w:rFonts w:hint="eastAsia"/>
                <w:sz w:val="21"/>
                <w:szCs w:val="21"/>
                <w:lang w:val="en-US" w:eastAsia="zh-CN"/>
              </w:rPr>
              <w:t>2</w:t>
            </w:r>
          </w:p>
          <w:p w14:paraId="51776CA5">
            <w:pPr>
              <w:bidi w:val="0"/>
              <w:jc w:val="left"/>
              <w:rPr>
                <w:rFonts w:hint="default"/>
                <w:sz w:val="21"/>
                <w:szCs w:val="21"/>
                <w:lang w:val="en-US" w:eastAsia="zh-CN"/>
              </w:rPr>
            </w:pPr>
            <w:r>
              <w:rPr>
                <w:rFonts w:hint="default"/>
                <w:sz w:val="21"/>
                <w:szCs w:val="21"/>
                <w:lang w:val="en-US" w:eastAsia="zh-CN"/>
              </w:rPr>
              <w:t>生殖细胞致突变性，类别1B</w:t>
            </w:r>
          </w:p>
          <w:p w14:paraId="50A81F75">
            <w:pPr>
              <w:bidi w:val="0"/>
              <w:jc w:val="left"/>
              <w:rPr>
                <w:rFonts w:hint="default"/>
                <w:sz w:val="21"/>
                <w:szCs w:val="21"/>
                <w:lang w:val="en-US" w:eastAsia="zh-CN"/>
              </w:rPr>
            </w:pPr>
            <w:r>
              <w:rPr>
                <w:rFonts w:hint="default"/>
                <w:sz w:val="21"/>
                <w:szCs w:val="21"/>
                <w:lang w:val="en-US" w:eastAsia="zh-CN"/>
              </w:rPr>
              <w:t>致癌性，类别2</w:t>
            </w:r>
          </w:p>
          <w:p w14:paraId="32C4D76F">
            <w:pPr>
              <w:bidi w:val="0"/>
              <w:jc w:val="left"/>
              <w:rPr>
                <w:rFonts w:hint="default"/>
                <w:sz w:val="21"/>
                <w:szCs w:val="21"/>
                <w:lang w:val="en-US" w:eastAsia="zh-CN"/>
              </w:rPr>
            </w:pPr>
            <w:r>
              <w:rPr>
                <w:rFonts w:hint="default"/>
                <w:sz w:val="21"/>
                <w:szCs w:val="21"/>
                <w:lang w:val="en-US" w:eastAsia="zh-CN"/>
              </w:rPr>
              <w:t>吸入危害，类别1</w:t>
            </w:r>
          </w:p>
          <w:p w14:paraId="5D7FA4B2">
            <w:pPr>
              <w:bidi w:val="0"/>
              <w:jc w:val="left"/>
              <w:rPr>
                <w:rFonts w:hint="default"/>
                <w:sz w:val="21"/>
                <w:szCs w:val="21"/>
                <w:lang w:val="en-US" w:eastAsia="zh-CN"/>
              </w:rPr>
            </w:pPr>
            <w:r>
              <w:rPr>
                <w:rFonts w:hint="default"/>
                <w:sz w:val="21"/>
                <w:szCs w:val="21"/>
                <w:lang w:val="en-US" w:eastAsia="zh-CN"/>
              </w:rPr>
              <w:t>危害水生环境</w:t>
            </w:r>
            <w:r>
              <w:rPr>
                <w:rFonts w:hint="eastAsia"/>
                <w:sz w:val="21"/>
                <w:szCs w:val="21"/>
                <w:lang w:val="en-US" w:eastAsia="zh-CN"/>
              </w:rPr>
              <w:t>－</w:t>
            </w:r>
            <w:r>
              <w:rPr>
                <w:rFonts w:hint="default"/>
                <w:sz w:val="21"/>
                <w:szCs w:val="21"/>
                <w:lang w:val="en-US" w:eastAsia="zh-CN"/>
              </w:rPr>
              <w:t>急性危害，类别2</w:t>
            </w:r>
          </w:p>
          <w:p w14:paraId="5D069FED">
            <w:pPr>
              <w:bidi w:val="0"/>
              <w:jc w:val="left"/>
              <w:rPr>
                <w:rFonts w:hint="default"/>
                <w:sz w:val="21"/>
                <w:szCs w:val="21"/>
                <w:lang w:val="en-US" w:eastAsia="zh-CN"/>
              </w:rPr>
            </w:pPr>
            <w:r>
              <w:rPr>
                <w:rFonts w:hint="default"/>
                <w:sz w:val="21"/>
                <w:szCs w:val="21"/>
                <w:lang w:val="en-US" w:eastAsia="zh-CN"/>
              </w:rPr>
              <w:t>危害水生环境</w:t>
            </w:r>
            <w:r>
              <w:rPr>
                <w:rFonts w:hint="eastAsia"/>
                <w:sz w:val="21"/>
                <w:szCs w:val="21"/>
                <w:lang w:val="en-US" w:eastAsia="zh-CN"/>
              </w:rPr>
              <w:t>－</w:t>
            </w:r>
            <w:r>
              <w:rPr>
                <w:rFonts w:hint="default"/>
                <w:sz w:val="21"/>
                <w:szCs w:val="21"/>
                <w:lang w:val="en-US" w:eastAsia="zh-CN"/>
              </w:rPr>
              <w:t>长期危害，类别2</w:t>
            </w:r>
          </w:p>
        </w:tc>
        <w:tc>
          <w:tcPr>
            <w:tcW w:w="1343" w:type="dxa"/>
            <w:vAlign w:val="center"/>
          </w:tcPr>
          <w:p w14:paraId="31D12735">
            <w:pPr>
              <w:bidi w:val="0"/>
              <w:jc w:val="center"/>
              <w:rPr>
                <w:rFonts w:hint="default"/>
                <w:sz w:val="21"/>
                <w:szCs w:val="21"/>
                <w:lang w:val="en-US" w:eastAsia="zh-CN"/>
              </w:rPr>
            </w:pPr>
            <w:r>
              <w:rPr>
                <w:rFonts w:hint="default"/>
                <w:sz w:val="21"/>
                <w:szCs w:val="21"/>
                <w:lang w:val="en-US" w:eastAsia="zh-CN"/>
              </w:rPr>
              <w:t>重点监管危化品、特别管控危险化学</w:t>
            </w:r>
            <w:r>
              <w:rPr>
                <w:rFonts w:hint="eastAsia"/>
                <w:sz w:val="21"/>
                <w:szCs w:val="21"/>
                <w:lang w:val="en-US" w:eastAsia="zh-CN"/>
              </w:rPr>
              <w:t>品。</w:t>
            </w:r>
          </w:p>
        </w:tc>
      </w:tr>
      <w:tr w14:paraId="69A9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7346B22C">
            <w:pPr>
              <w:bidi w:val="0"/>
              <w:jc w:val="center"/>
              <w:rPr>
                <w:rFonts w:hint="default"/>
                <w:sz w:val="21"/>
                <w:szCs w:val="21"/>
                <w:lang w:val="en-US" w:eastAsia="zh-CN"/>
              </w:rPr>
            </w:pPr>
            <w:r>
              <w:rPr>
                <w:rFonts w:hint="eastAsia"/>
                <w:sz w:val="21"/>
                <w:szCs w:val="21"/>
                <w:lang w:val="en-US" w:eastAsia="zh-CN"/>
              </w:rPr>
              <w:t>2</w:t>
            </w:r>
          </w:p>
        </w:tc>
        <w:tc>
          <w:tcPr>
            <w:tcW w:w="780" w:type="dxa"/>
            <w:vAlign w:val="center"/>
          </w:tcPr>
          <w:p w14:paraId="730C1B1B">
            <w:pPr>
              <w:bidi w:val="0"/>
              <w:jc w:val="center"/>
              <w:rPr>
                <w:rFonts w:hint="default"/>
                <w:sz w:val="21"/>
                <w:szCs w:val="21"/>
                <w:lang w:val="en-US" w:eastAsia="zh-CN"/>
              </w:rPr>
            </w:pPr>
            <w:r>
              <w:rPr>
                <w:rFonts w:hint="eastAsia"/>
                <w:sz w:val="21"/>
                <w:szCs w:val="21"/>
                <w:lang w:val="en-US" w:eastAsia="zh-CN"/>
              </w:rPr>
              <w:t>1674</w:t>
            </w:r>
          </w:p>
        </w:tc>
        <w:tc>
          <w:tcPr>
            <w:tcW w:w="720" w:type="dxa"/>
            <w:vAlign w:val="center"/>
          </w:tcPr>
          <w:p w14:paraId="2E7DF3BF">
            <w:pPr>
              <w:bidi w:val="0"/>
              <w:jc w:val="center"/>
              <w:rPr>
                <w:rFonts w:hint="default"/>
                <w:sz w:val="21"/>
                <w:szCs w:val="21"/>
                <w:lang w:val="en-US" w:eastAsia="zh-CN"/>
              </w:rPr>
            </w:pPr>
            <w:r>
              <w:rPr>
                <w:rFonts w:hint="eastAsia"/>
                <w:sz w:val="21"/>
                <w:szCs w:val="21"/>
                <w:lang w:val="en-US" w:eastAsia="zh-CN"/>
              </w:rPr>
              <w:t>柴油</w:t>
            </w:r>
          </w:p>
        </w:tc>
        <w:tc>
          <w:tcPr>
            <w:tcW w:w="700" w:type="dxa"/>
            <w:vAlign w:val="center"/>
          </w:tcPr>
          <w:p w14:paraId="29C1BA94">
            <w:pPr>
              <w:bidi w:val="0"/>
              <w:jc w:val="center"/>
              <w:rPr>
                <w:rFonts w:hint="default"/>
                <w:sz w:val="21"/>
                <w:szCs w:val="21"/>
                <w:lang w:val="en-US" w:eastAsia="zh-CN"/>
              </w:rPr>
            </w:pPr>
            <w:r>
              <w:rPr>
                <w:rFonts w:hint="eastAsia"/>
                <w:sz w:val="21"/>
                <w:szCs w:val="21"/>
                <w:lang w:val="en-US" w:eastAsia="zh-CN"/>
              </w:rPr>
              <w:t>/</w:t>
            </w:r>
          </w:p>
        </w:tc>
        <w:tc>
          <w:tcPr>
            <w:tcW w:w="1200" w:type="dxa"/>
            <w:vAlign w:val="center"/>
          </w:tcPr>
          <w:p w14:paraId="5D3BB1F6">
            <w:pPr>
              <w:bidi w:val="0"/>
              <w:jc w:val="center"/>
              <w:rPr>
                <w:rFonts w:hint="default"/>
                <w:sz w:val="21"/>
                <w:szCs w:val="21"/>
                <w:lang w:val="en-US" w:eastAsia="zh-CN"/>
              </w:rPr>
            </w:pPr>
            <w:r>
              <w:rPr>
                <w:rFonts w:hint="eastAsia"/>
                <w:sz w:val="21"/>
                <w:szCs w:val="21"/>
                <w:lang w:val="en-US" w:eastAsia="zh-CN"/>
              </w:rPr>
              <w:t>/</w:t>
            </w:r>
          </w:p>
        </w:tc>
        <w:tc>
          <w:tcPr>
            <w:tcW w:w="3969" w:type="dxa"/>
            <w:vAlign w:val="center"/>
          </w:tcPr>
          <w:p w14:paraId="0FB27894">
            <w:pPr>
              <w:bidi w:val="0"/>
              <w:jc w:val="left"/>
              <w:rPr>
                <w:rFonts w:hint="default"/>
                <w:sz w:val="21"/>
                <w:szCs w:val="21"/>
                <w:lang w:val="en-US" w:eastAsia="zh-CN"/>
              </w:rPr>
            </w:pPr>
            <w:r>
              <w:rPr>
                <w:rFonts w:hint="default"/>
                <w:sz w:val="21"/>
                <w:szCs w:val="21"/>
                <w:lang w:val="en-US" w:eastAsia="zh-CN"/>
              </w:rPr>
              <w:t>易燃液体类别3</w:t>
            </w:r>
          </w:p>
        </w:tc>
        <w:tc>
          <w:tcPr>
            <w:tcW w:w="1343" w:type="dxa"/>
            <w:vAlign w:val="center"/>
          </w:tcPr>
          <w:p w14:paraId="34865EDC">
            <w:pPr>
              <w:bidi w:val="0"/>
              <w:jc w:val="center"/>
              <w:rPr>
                <w:rFonts w:hint="default"/>
                <w:sz w:val="21"/>
                <w:szCs w:val="21"/>
                <w:lang w:val="en-US" w:eastAsia="zh-CN"/>
              </w:rPr>
            </w:pPr>
            <w:r>
              <w:rPr>
                <w:rFonts w:hint="eastAsia"/>
                <w:sz w:val="21"/>
                <w:szCs w:val="21"/>
                <w:lang w:val="en-US" w:eastAsia="zh-CN"/>
              </w:rPr>
              <w:t>/</w:t>
            </w:r>
          </w:p>
        </w:tc>
      </w:tr>
    </w:tbl>
    <w:p w14:paraId="5753BE91">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224" w:name="_Toc6601"/>
      <w:bookmarkStart w:id="225" w:name="_Toc5238"/>
      <w:bookmarkStart w:id="226" w:name="_Toc4507"/>
      <w:bookmarkStart w:id="227" w:name="_Toc11902"/>
      <w:r>
        <w:rPr>
          <w:rFonts w:hint="eastAsia" w:ascii="宋体" w:hAnsi="宋体" w:eastAsia="宋体" w:cs="宋体"/>
          <w:b/>
          <w:sz w:val="30"/>
          <w:szCs w:val="30"/>
          <w:lang w:val="en-US" w:eastAsia="zh-CN"/>
        </w:rPr>
        <w:t>3.1.2理化性质及应急处理措施</w:t>
      </w:r>
      <w:bookmarkEnd w:id="224"/>
      <w:bookmarkEnd w:id="225"/>
      <w:bookmarkEnd w:id="226"/>
      <w:bookmarkEnd w:id="227"/>
    </w:p>
    <w:p w14:paraId="2E9E755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根据《危险化学品安全技术全书》，汽油和柴油理化特性及应急处理措施见表3-2汽油的理化性质及应急处理措施和表</w:t>
      </w:r>
      <w:r>
        <w:rPr>
          <w:rFonts w:hint="eastAsia" w:ascii="宋体" w:hAnsi="宋体" w:eastAsia="宋体" w:cs="宋体"/>
          <w:color w:val="auto"/>
          <w:kern w:val="0"/>
          <w:sz w:val="28"/>
          <w:szCs w:val="28"/>
          <w:lang w:val="en-US" w:eastAsia="zh-CN"/>
        </w:rPr>
        <w:t>3</w:t>
      </w:r>
      <w:r>
        <w:rPr>
          <w:rFonts w:hint="default" w:ascii="宋体" w:hAnsi="宋体" w:eastAsia="宋体" w:cs="宋体"/>
          <w:color w:val="auto"/>
          <w:kern w:val="0"/>
          <w:sz w:val="28"/>
          <w:szCs w:val="28"/>
          <w:lang w:val="en-US" w:eastAsia="zh-CN"/>
        </w:rPr>
        <w:t>-</w:t>
      </w:r>
      <w:r>
        <w:rPr>
          <w:rFonts w:hint="eastAsia" w:ascii="宋体" w:hAnsi="宋体" w:eastAsia="宋体" w:cs="宋体"/>
          <w:color w:val="auto"/>
          <w:kern w:val="0"/>
          <w:sz w:val="28"/>
          <w:szCs w:val="28"/>
          <w:lang w:val="en-US" w:eastAsia="zh-CN"/>
        </w:rPr>
        <w:t>3</w:t>
      </w:r>
      <w:r>
        <w:rPr>
          <w:rFonts w:hint="default" w:ascii="宋体" w:hAnsi="宋体" w:eastAsia="宋体" w:cs="宋体"/>
          <w:color w:val="auto"/>
          <w:kern w:val="0"/>
          <w:sz w:val="28"/>
          <w:szCs w:val="28"/>
          <w:lang w:val="en-US" w:eastAsia="zh-CN"/>
        </w:rPr>
        <w:t>的理化性质及应急处理措施。</w:t>
      </w:r>
    </w:p>
    <w:p w14:paraId="7BEE533F">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center"/>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表</w:t>
      </w:r>
      <w:r>
        <w:rPr>
          <w:rFonts w:hint="eastAsia" w:ascii="宋体" w:hAnsi="宋体" w:eastAsia="宋体" w:cs="宋体"/>
          <w:color w:val="auto"/>
          <w:kern w:val="0"/>
          <w:sz w:val="28"/>
          <w:szCs w:val="28"/>
          <w:lang w:val="en-US" w:eastAsia="zh-CN"/>
        </w:rPr>
        <w:t>3</w:t>
      </w:r>
      <w:r>
        <w:rPr>
          <w:rFonts w:hint="default" w:ascii="宋体" w:hAnsi="宋体" w:eastAsia="宋体" w:cs="宋体"/>
          <w:color w:val="auto"/>
          <w:kern w:val="0"/>
          <w:sz w:val="28"/>
          <w:szCs w:val="28"/>
          <w:lang w:val="en-US" w:eastAsia="zh-CN"/>
        </w:rPr>
        <w:t>-2汽油的理化特性及应急处置措施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670"/>
        <w:gridCol w:w="1430"/>
        <w:gridCol w:w="660"/>
        <w:gridCol w:w="294"/>
        <w:gridCol w:w="476"/>
        <w:gridCol w:w="540"/>
        <w:gridCol w:w="890"/>
        <w:gridCol w:w="330"/>
        <w:gridCol w:w="148"/>
        <w:gridCol w:w="952"/>
        <w:gridCol w:w="1432"/>
      </w:tblGrid>
      <w:tr w14:paraId="21C3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B7F0B7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标识</w:t>
            </w:r>
          </w:p>
        </w:tc>
        <w:tc>
          <w:tcPr>
            <w:tcW w:w="1670" w:type="dxa"/>
            <w:vAlign w:val="center"/>
          </w:tcPr>
          <w:p w14:paraId="39A505FE">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中文名</w:t>
            </w:r>
          </w:p>
        </w:tc>
        <w:tc>
          <w:tcPr>
            <w:tcW w:w="3400" w:type="dxa"/>
            <w:gridSpan w:val="5"/>
            <w:vAlign w:val="center"/>
          </w:tcPr>
          <w:p w14:paraId="570CA09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汽油</w:t>
            </w:r>
          </w:p>
        </w:tc>
        <w:tc>
          <w:tcPr>
            <w:tcW w:w="1220" w:type="dxa"/>
            <w:gridSpan w:val="2"/>
            <w:vAlign w:val="center"/>
          </w:tcPr>
          <w:p w14:paraId="74BDFAD6">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序号</w:t>
            </w:r>
          </w:p>
        </w:tc>
        <w:tc>
          <w:tcPr>
            <w:tcW w:w="2532" w:type="dxa"/>
            <w:gridSpan w:val="3"/>
            <w:vAlign w:val="center"/>
          </w:tcPr>
          <w:p w14:paraId="0102D93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1630</w:t>
            </w:r>
          </w:p>
        </w:tc>
      </w:tr>
      <w:tr w14:paraId="44F8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2D9832F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6225E6EF">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英文名</w:t>
            </w:r>
          </w:p>
        </w:tc>
        <w:tc>
          <w:tcPr>
            <w:tcW w:w="3400" w:type="dxa"/>
            <w:gridSpan w:val="5"/>
            <w:vAlign w:val="center"/>
          </w:tcPr>
          <w:p w14:paraId="190B9AE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Gasoline；Petrol</w:t>
            </w:r>
          </w:p>
        </w:tc>
        <w:tc>
          <w:tcPr>
            <w:tcW w:w="1220" w:type="dxa"/>
            <w:gridSpan w:val="2"/>
            <w:vAlign w:val="center"/>
          </w:tcPr>
          <w:p w14:paraId="3C397FD9">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CAS号</w:t>
            </w:r>
          </w:p>
        </w:tc>
        <w:tc>
          <w:tcPr>
            <w:tcW w:w="2532" w:type="dxa"/>
            <w:gridSpan w:val="3"/>
            <w:vAlign w:val="center"/>
          </w:tcPr>
          <w:p w14:paraId="4E31AB9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86290-81-5</w:t>
            </w:r>
          </w:p>
        </w:tc>
      </w:tr>
      <w:tr w14:paraId="170E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8933C0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理化性质</w:t>
            </w:r>
          </w:p>
        </w:tc>
        <w:tc>
          <w:tcPr>
            <w:tcW w:w="1670" w:type="dxa"/>
            <w:vAlign w:val="center"/>
          </w:tcPr>
          <w:p w14:paraId="2A66817D">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外观与性状</w:t>
            </w:r>
          </w:p>
        </w:tc>
        <w:tc>
          <w:tcPr>
            <w:tcW w:w="7152" w:type="dxa"/>
            <w:gridSpan w:val="10"/>
            <w:vAlign w:val="center"/>
          </w:tcPr>
          <w:p w14:paraId="6EFAB8E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无色或淡黄色易挥发液体，具有特殊臭味。</w:t>
            </w:r>
          </w:p>
        </w:tc>
      </w:tr>
      <w:tr w14:paraId="5E1D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2BC6B5C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128ABFD">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主要成分</w:t>
            </w:r>
          </w:p>
        </w:tc>
        <w:tc>
          <w:tcPr>
            <w:tcW w:w="7152" w:type="dxa"/>
            <w:gridSpan w:val="10"/>
            <w:vAlign w:val="center"/>
          </w:tcPr>
          <w:p w14:paraId="656FF0B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C4～C12脂肪烃和环烷烃。</w:t>
            </w:r>
          </w:p>
        </w:tc>
      </w:tr>
      <w:tr w14:paraId="616C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C127726">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27AF6FD5">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熔点（℃）</w:t>
            </w:r>
          </w:p>
        </w:tc>
        <w:tc>
          <w:tcPr>
            <w:tcW w:w="2090" w:type="dxa"/>
            <w:gridSpan w:val="2"/>
            <w:vAlign w:val="center"/>
          </w:tcPr>
          <w:p w14:paraId="25FA475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＜-60</w:t>
            </w:r>
          </w:p>
        </w:tc>
        <w:tc>
          <w:tcPr>
            <w:tcW w:w="2530" w:type="dxa"/>
            <w:gridSpan w:val="5"/>
            <w:vAlign w:val="center"/>
          </w:tcPr>
          <w:p w14:paraId="41DAB489">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相对密度（水=1）</w:t>
            </w:r>
          </w:p>
        </w:tc>
        <w:tc>
          <w:tcPr>
            <w:tcW w:w="2532" w:type="dxa"/>
            <w:gridSpan w:val="3"/>
            <w:vAlign w:val="center"/>
          </w:tcPr>
          <w:p w14:paraId="4AA2653B">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w:t>
            </w:r>
            <w:r>
              <w:rPr>
                <w:rFonts w:hint="eastAsia" w:asciiTheme="minorEastAsia" w:hAnsiTheme="minorEastAsia" w:cstheme="minorEastAsia"/>
                <w:color w:val="000000" w:themeColor="text1"/>
                <w:sz w:val="21"/>
                <w:szCs w:val="21"/>
                <w:lang w:val="en-US" w:eastAsia="zh-CN"/>
                <w14:textFill>
                  <w14:solidFill>
                    <w14:schemeClr w14:val="tx1"/>
                  </w14:solidFill>
                </w14:textFill>
              </w:rPr>
              <w:t>70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w:t>
            </w:r>
            <w:r>
              <w:rPr>
                <w:rFonts w:hint="eastAsia" w:asciiTheme="minorEastAsia" w:hAnsiTheme="minorEastAsia" w:cstheme="minorEastAsia"/>
                <w:color w:val="000000" w:themeColor="text1"/>
                <w:sz w:val="21"/>
                <w:szCs w:val="21"/>
                <w:lang w:val="en-US" w:eastAsia="zh-CN"/>
                <w14:textFill>
                  <w14:solidFill>
                    <w14:schemeClr w14:val="tx1"/>
                  </w14:solidFill>
                </w14:textFill>
              </w:rPr>
              <w:t>80</w:t>
            </w:r>
          </w:p>
        </w:tc>
      </w:tr>
      <w:tr w14:paraId="71C8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3A3ACF6">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60B9CE7D">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沸点（℃）</w:t>
            </w:r>
          </w:p>
        </w:tc>
        <w:tc>
          <w:tcPr>
            <w:tcW w:w="2090" w:type="dxa"/>
            <w:gridSpan w:val="2"/>
            <w:vAlign w:val="center"/>
          </w:tcPr>
          <w:p w14:paraId="778CDB3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w:t>
            </w:r>
          </w:p>
        </w:tc>
        <w:tc>
          <w:tcPr>
            <w:tcW w:w="2530" w:type="dxa"/>
            <w:gridSpan w:val="5"/>
            <w:vAlign w:val="center"/>
          </w:tcPr>
          <w:p w14:paraId="60A37267">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饱和蒸汽压</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kPa</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p>
        </w:tc>
        <w:tc>
          <w:tcPr>
            <w:tcW w:w="2532" w:type="dxa"/>
            <w:gridSpan w:val="3"/>
            <w:vAlign w:val="center"/>
          </w:tcPr>
          <w:p w14:paraId="3BDD069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r>
      <w:tr w14:paraId="5E11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3C6BCA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D537B9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溶解性</w:t>
            </w:r>
          </w:p>
        </w:tc>
        <w:tc>
          <w:tcPr>
            <w:tcW w:w="7152" w:type="dxa"/>
            <w:gridSpan w:val="10"/>
            <w:vAlign w:val="center"/>
          </w:tcPr>
          <w:p w14:paraId="30B0BCF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不溶于水，易溶于苯、二硫化碳、醇、脂肪。</w:t>
            </w:r>
          </w:p>
        </w:tc>
      </w:tr>
      <w:tr w14:paraId="605A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28D7ED7">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FE03E65">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主要用途</w:t>
            </w:r>
          </w:p>
        </w:tc>
        <w:tc>
          <w:tcPr>
            <w:tcW w:w="7152" w:type="dxa"/>
            <w:gridSpan w:val="10"/>
            <w:vAlign w:val="center"/>
          </w:tcPr>
          <w:p w14:paraId="6F89DEE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主要用作汽油机的燃料、用于橡胶、制鞋、印刷、制革、颜料等行业,也可用作机械零件的去污剂。</w:t>
            </w:r>
          </w:p>
        </w:tc>
      </w:tr>
      <w:tr w14:paraId="367B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A67BD7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健康危害</w:t>
            </w:r>
          </w:p>
        </w:tc>
        <w:tc>
          <w:tcPr>
            <w:tcW w:w="1670" w:type="dxa"/>
            <w:vAlign w:val="center"/>
          </w:tcPr>
          <w:p w14:paraId="0E2BBA1A">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侵入途径</w:t>
            </w:r>
          </w:p>
        </w:tc>
        <w:tc>
          <w:tcPr>
            <w:tcW w:w="7152" w:type="dxa"/>
            <w:gridSpan w:val="10"/>
            <w:vAlign w:val="center"/>
          </w:tcPr>
          <w:p w14:paraId="32FE4CE8">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吸入、食入、经皮吸收。</w:t>
            </w:r>
          </w:p>
        </w:tc>
      </w:tr>
      <w:tr w14:paraId="0CAD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65F4075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372824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健康危害</w:t>
            </w:r>
          </w:p>
        </w:tc>
        <w:tc>
          <w:tcPr>
            <w:tcW w:w="7152" w:type="dxa"/>
            <w:gridSpan w:val="10"/>
            <w:vAlign w:val="center"/>
          </w:tcPr>
          <w:p w14:paraId="36BD8DB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急性中毒</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对中枢神经系统有麻醉作用。轻度中毒症状有头晕、头痛、恶心、呕吐、步态不稳、共济失调。高浓度吸入出现中毒性脑病。极高浓度吸入引起意识突然丧失、反射性呼吸停止。可伴有中毒性周围神经病及化学</w:t>
            </w:r>
            <w:r>
              <w:rPr>
                <w:rFonts w:hint="eastAsia" w:asciiTheme="minorEastAsia" w:hAnsiTheme="minorEastAsia" w:cstheme="minorEastAsia"/>
                <w:color w:val="000000" w:themeColor="text1"/>
                <w:sz w:val="21"/>
                <w:szCs w:val="21"/>
                <w:lang w:val="en-US" w:eastAsia="zh-CN"/>
                <w14:textFill>
                  <w14:solidFill>
                    <w14:schemeClr w14:val="tx1"/>
                  </w14:solidFill>
                </w14:textFill>
              </w:rPr>
              <w:t>性肺炎</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神经衰弱综合征、</w:t>
            </w:r>
            <w:r>
              <w:rPr>
                <w:rFonts w:hint="eastAsia" w:asciiTheme="minorEastAsia" w:hAnsiTheme="minorEastAsia" w:cstheme="minorEastAsia"/>
                <w:color w:val="000000" w:themeColor="text1"/>
                <w:sz w:val="21"/>
                <w:szCs w:val="21"/>
                <w:lang w:val="en-US" w:eastAsia="zh-CN"/>
                <w14:textFill>
                  <w14:solidFill>
                    <w14:schemeClr w14:val="tx1"/>
                  </w14:solidFill>
                </w14:textFill>
              </w:rPr>
              <w:t>自主神经</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功能紊乱、周围神经病。严重中毒出现中毒性脑病，症状类似精神分裂症。皮肤损害。</w:t>
            </w:r>
          </w:p>
        </w:tc>
      </w:tr>
      <w:tr w14:paraId="04FE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117E4F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燃烧爆炸危险性</w:t>
            </w:r>
          </w:p>
        </w:tc>
        <w:tc>
          <w:tcPr>
            <w:tcW w:w="1670" w:type="dxa"/>
            <w:vAlign w:val="center"/>
          </w:tcPr>
          <w:p w14:paraId="32347FFD">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燃烧性</w:t>
            </w:r>
          </w:p>
        </w:tc>
        <w:tc>
          <w:tcPr>
            <w:tcW w:w="2384" w:type="dxa"/>
            <w:gridSpan w:val="3"/>
            <w:vAlign w:val="center"/>
          </w:tcPr>
          <w:p w14:paraId="0464A92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极度易燃</w:t>
            </w:r>
          </w:p>
        </w:tc>
        <w:tc>
          <w:tcPr>
            <w:tcW w:w="2384" w:type="dxa"/>
            <w:gridSpan w:val="5"/>
            <w:vAlign w:val="center"/>
          </w:tcPr>
          <w:p w14:paraId="3C3298BF">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有害燃烧产物</w:t>
            </w:r>
          </w:p>
        </w:tc>
        <w:tc>
          <w:tcPr>
            <w:tcW w:w="2384" w:type="dxa"/>
            <w:gridSpan w:val="2"/>
            <w:vAlign w:val="center"/>
          </w:tcPr>
          <w:p w14:paraId="4B93301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一氧化碳、二氧化碳</w:t>
            </w:r>
          </w:p>
        </w:tc>
      </w:tr>
      <w:tr w14:paraId="1CB4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3162D76E">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DD5AA52">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闪点（℃）</w:t>
            </w:r>
          </w:p>
        </w:tc>
        <w:tc>
          <w:tcPr>
            <w:tcW w:w="2384" w:type="dxa"/>
            <w:gridSpan w:val="3"/>
            <w:vAlign w:val="center"/>
          </w:tcPr>
          <w:p w14:paraId="5511F025">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58</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10</w:t>
            </w:r>
          </w:p>
        </w:tc>
        <w:tc>
          <w:tcPr>
            <w:tcW w:w="2384" w:type="dxa"/>
            <w:gridSpan w:val="5"/>
            <w:vAlign w:val="center"/>
          </w:tcPr>
          <w:p w14:paraId="6F2CA4E9">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爆炸上限（v%）</w:t>
            </w:r>
          </w:p>
        </w:tc>
        <w:tc>
          <w:tcPr>
            <w:tcW w:w="2384" w:type="dxa"/>
            <w:gridSpan w:val="2"/>
            <w:vAlign w:val="center"/>
          </w:tcPr>
          <w:p w14:paraId="790005B8">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7.6</w:t>
            </w:r>
          </w:p>
        </w:tc>
      </w:tr>
      <w:tr w14:paraId="7A7E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9" w:type="dxa"/>
            <w:vMerge w:val="continue"/>
            <w:vAlign w:val="center"/>
          </w:tcPr>
          <w:p w14:paraId="4B95A14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05F1486A">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引燃温度（℃）</w:t>
            </w:r>
          </w:p>
        </w:tc>
        <w:tc>
          <w:tcPr>
            <w:tcW w:w="2384" w:type="dxa"/>
            <w:gridSpan w:val="3"/>
            <w:vAlign w:val="center"/>
          </w:tcPr>
          <w:p w14:paraId="7E1B62D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250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～530</w:t>
            </w:r>
          </w:p>
        </w:tc>
        <w:tc>
          <w:tcPr>
            <w:tcW w:w="2384" w:type="dxa"/>
            <w:gridSpan w:val="5"/>
            <w:vAlign w:val="center"/>
          </w:tcPr>
          <w:p w14:paraId="4C6473D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爆炸下限（v%）</w:t>
            </w:r>
          </w:p>
        </w:tc>
        <w:tc>
          <w:tcPr>
            <w:tcW w:w="2384" w:type="dxa"/>
            <w:gridSpan w:val="2"/>
            <w:vAlign w:val="center"/>
          </w:tcPr>
          <w:p w14:paraId="53EB58F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1.3</w:t>
            </w:r>
          </w:p>
        </w:tc>
      </w:tr>
      <w:tr w14:paraId="468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01760D6">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3BBC6BA">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危险特性</w:t>
            </w:r>
          </w:p>
        </w:tc>
        <w:tc>
          <w:tcPr>
            <w:tcW w:w="7152" w:type="dxa"/>
            <w:gridSpan w:val="10"/>
            <w:vAlign w:val="center"/>
          </w:tcPr>
          <w:p w14:paraId="3AE49AE8">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其蒸气与空气可形成爆炸性混合物，遇明火、高热极易燃烧爆炸。与氧化剂能发生强烈反应。其蒸气比空气重，能在较低处扩散到相当远的地方，遇火源会着火回燃。</w:t>
            </w:r>
          </w:p>
        </w:tc>
      </w:tr>
      <w:tr w14:paraId="50A2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B59941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670BAD39">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建规火险分级</w:t>
            </w:r>
          </w:p>
        </w:tc>
        <w:tc>
          <w:tcPr>
            <w:tcW w:w="1430" w:type="dxa"/>
            <w:vAlign w:val="center"/>
          </w:tcPr>
          <w:p w14:paraId="31F407C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甲</w:t>
            </w:r>
          </w:p>
        </w:tc>
        <w:tc>
          <w:tcPr>
            <w:tcW w:w="1430" w:type="dxa"/>
            <w:gridSpan w:val="3"/>
            <w:vAlign w:val="center"/>
          </w:tcPr>
          <w:p w14:paraId="44BC700B">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稳定性</w:t>
            </w:r>
          </w:p>
        </w:tc>
        <w:tc>
          <w:tcPr>
            <w:tcW w:w="1430" w:type="dxa"/>
            <w:gridSpan w:val="2"/>
            <w:vAlign w:val="center"/>
          </w:tcPr>
          <w:p w14:paraId="4D76BF6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稳定</w:t>
            </w:r>
          </w:p>
        </w:tc>
        <w:tc>
          <w:tcPr>
            <w:tcW w:w="1430" w:type="dxa"/>
            <w:gridSpan w:val="3"/>
            <w:vAlign w:val="center"/>
          </w:tcPr>
          <w:p w14:paraId="3B59A85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聚合危害</w:t>
            </w:r>
          </w:p>
        </w:tc>
        <w:tc>
          <w:tcPr>
            <w:tcW w:w="1432" w:type="dxa"/>
            <w:vAlign w:val="center"/>
          </w:tcPr>
          <w:p w14:paraId="7358BF1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不出现</w:t>
            </w:r>
          </w:p>
        </w:tc>
      </w:tr>
      <w:tr w14:paraId="65E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62EE55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49ABF59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禁忌物</w:t>
            </w:r>
          </w:p>
        </w:tc>
        <w:tc>
          <w:tcPr>
            <w:tcW w:w="7152" w:type="dxa"/>
            <w:gridSpan w:val="10"/>
            <w:vAlign w:val="center"/>
          </w:tcPr>
          <w:p w14:paraId="36EAA6A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强氧化剂</w:t>
            </w:r>
          </w:p>
        </w:tc>
      </w:tr>
      <w:tr w14:paraId="45F1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D67867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4676C078">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灭火方法</w:t>
            </w:r>
          </w:p>
        </w:tc>
        <w:tc>
          <w:tcPr>
            <w:tcW w:w="7152" w:type="dxa"/>
            <w:gridSpan w:val="10"/>
            <w:vAlign w:val="center"/>
          </w:tcPr>
          <w:p w14:paraId="30BD7E0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喷水冷却容器，可能的话将容器从火场移至空旷处。灭火剂</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泡沫、干粉、二氧化碳。用水灭火无效。</w:t>
            </w:r>
          </w:p>
        </w:tc>
      </w:tr>
      <w:tr w14:paraId="06DF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4D8DCF7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毒理学资料</w:t>
            </w:r>
          </w:p>
        </w:tc>
        <w:tc>
          <w:tcPr>
            <w:tcW w:w="1670" w:type="dxa"/>
            <w:vAlign w:val="center"/>
          </w:tcPr>
          <w:p w14:paraId="6F8800D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急性毒性</w:t>
            </w:r>
          </w:p>
        </w:tc>
        <w:tc>
          <w:tcPr>
            <w:tcW w:w="7152" w:type="dxa"/>
            <w:gridSpan w:val="10"/>
            <w:vAlign w:val="center"/>
          </w:tcPr>
          <w:p w14:paraId="5C0FCC8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LD</w:t>
            </w:r>
            <w:r>
              <w:rPr>
                <w:rFonts w:hint="eastAsia" w:asciiTheme="minorEastAsia" w:hAnsiTheme="minorEastAsia" w:eastAsiaTheme="minorEastAsia" w:cstheme="minorEastAsia"/>
                <w:color w:val="000000" w:themeColor="text1"/>
                <w:sz w:val="21"/>
                <w:szCs w:val="21"/>
                <w:vertAlign w:val="subscript"/>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：67000mg/kg（小鼠经口）（120号溶剂汽油）</w:t>
            </w:r>
          </w:p>
          <w:p w14:paraId="49713A3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LC</w:t>
            </w:r>
            <w:r>
              <w:rPr>
                <w:rFonts w:hint="eastAsia" w:asciiTheme="minorEastAsia" w:hAnsiTheme="minorEastAsia" w:eastAsiaTheme="minorEastAsia" w:cstheme="minorEastAsia"/>
                <w:color w:val="000000" w:themeColor="text1"/>
                <w:sz w:val="21"/>
                <w:szCs w:val="21"/>
                <w:vertAlign w:val="subscript"/>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：100000mg/m³，2小时（小鼠吸入）（120号溶剂汽油）</w:t>
            </w:r>
          </w:p>
        </w:tc>
      </w:tr>
      <w:tr w14:paraId="6A8F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6D507A0">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4CDE642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刺激性</w:t>
            </w:r>
          </w:p>
        </w:tc>
        <w:tc>
          <w:tcPr>
            <w:tcW w:w="7152" w:type="dxa"/>
            <w:gridSpan w:val="10"/>
            <w:vAlign w:val="center"/>
          </w:tcPr>
          <w:p w14:paraId="78CA79A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人经眼：140ppm/8h，轻度刺激。</w:t>
            </w:r>
          </w:p>
        </w:tc>
      </w:tr>
      <w:tr w14:paraId="2B42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5407280">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61B5267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其他有害作用</w:t>
            </w:r>
          </w:p>
        </w:tc>
        <w:tc>
          <w:tcPr>
            <w:tcW w:w="7152" w:type="dxa"/>
            <w:gridSpan w:val="10"/>
            <w:vAlign w:val="center"/>
          </w:tcPr>
          <w:p w14:paraId="77B9581A">
            <w:pPr>
              <w:bidi w:val="0"/>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该物质对环境可能有危害，对水体应给予特别注意。</w:t>
            </w:r>
          </w:p>
        </w:tc>
      </w:tr>
      <w:tr w14:paraId="1028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CD137B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29BBAC1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废弃处置方法</w:t>
            </w:r>
          </w:p>
        </w:tc>
        <w:tc>
          <w:tcPr>
            <w:tcW w:w="7152" w:type="dxa"/>
            <w:gridSpan w:val="10"/>
            <w:vAlign w:val="center"/>
          </w:tcPr>
          <w:p w14:paraId="0EAE2D76">
            <w:pPr>
              <w:bidi w:val="0"/>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用焚烧法处置</w:t>
            </w:r>
          </w:p>
        </w:tc>
      </w:tr>
      <w:tr w14:paraId="4E76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3D47691">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包装与运输</w:t>
            </w:r>
          </w:p>
        </w:tc>
        <w:tc>
          <w:tcPr>
            <w:tcW w:w="1670" w:type="dxa"/>
            <w:vAlign w:val="center"/>
          </w:tcPr>
          <w:p w14:paraId="6F33A9F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危险性类别</w:t>
            </w:r>
          </w:p>
        </w:tc>
        <w:tc>
          <w:tcPr>
            <w:tcW w:w="2384" w:type="dxa"/>
            <w:gridSpan w:val="3"/>
            <w:vAlign w:val="center"/>
          </w:tcPr>
          <w:p w14:paraId="67C07D4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易燃液体类别</w:t>
            </w:r>
            <w:r>
              <w:rPr>
                <w:rFonts w:hint="eastAsia" w:asciiTheme="minorEastAsia" w:hAnsiTheme="minorEastAsia" w:cstheme="minorEastAsia"/>
                <w:color w:val="000000" w:themeColor="text1"/>
                <w:sz w:val="21"/>
                <w:szCs w:val="21"/>
                <w:lang w:val="en-US" w:eastAsia="zh-CN"/>
                <w14:textFill>
                  <w14:solidFill>
                    <w14:schemeClr w14:val="tx1"/>
                  </w14:solidFill>
                </w14:textFill>
              </w:rPr>
              <w:t>2</w:t>
            </w:r>
          </w:p>
        </w:tc>
        <w:tc>
          <w:tcPr>
            <w:tcW w:w="2384" w:type="dxa"/>
            <w:gridSpan w:val="5"/>
            <w:vAlign w:val="center"/>
          </w:tcPr>
          <w:p w14:paraId="01CB80EE">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包装类别</w:t>
            </w:r>
          </w:p>
        </w:tc>
        <w:tc>
          <w:tcPr>
            <w:tcW w:w="2384" w:type="dxa"/>
            <w:gridSpan w:val="2"/>
            <w:vAlign w:val="center"/>
          </w:tcPr>
          <w:p w14:paraId="3589596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Ⅱ</w:t>
            </w:r>
          </w:p>
        </w:tc>
      </w:tr>
      <w:tr w14:paraId="4B52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51D4D0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F48930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储存注意事项</w:t>
            </w:r>
          </w:p>
        </w:tc>
        <w:tc>
          <w:tcPr>
            <w:tcW w:w="7152" w:type="dxa"/>
            <w:gridSpan w:val="10"/>
            <w:vAlign w:val="center"/>
          </w:tcPr>
          <w:p w14:paraId="6334084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r>
      <w:tr w14:paraId="19D9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2ED96B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2B2839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运输注意事项</w:t>
            </w:r>
          </w:p>
        </w:tc>
        <w:tc>
          <w:tcPr>
            <w:tcW w:w="7152" w:type="dxa"/>
            <w:gridSpan w:val="10"/>
            <w:vAlign w:val="center"/>
          </w:tcPr>
          <w:p w14:paraId="5047D1A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本品铁路运输</w:t>
            </w:r>
            <w:r>
              <w:rPr>
                <w:rFonts w:hint="eastAsia" w:asciiTheme="minorEastAsia" w:hAnsiTheme="minorEastAsia" w:cstheme="minorEastAsia"/>
                <w:color w:val="000000" w:themeColor="text1"/>
                <w:sz w:val="21"/>
                <w:szCs w:val="21"/>
                <w:lang w:val="en-US" w:eastAsia="zh-CN"/>
                <w14:textFill>
                  <w14:solidFill>
                    <w14:schemeClr w14:val="tx1"/>
                  </w14:solidFill>
                </w14:textFill>
              </w:rPr>
              <w:t>只限</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使用钢制企业自备罐车装运，装运前需报有关部门批准。运输时运输车辆应配备相应品种和数量的消防器材及泄漏应急处理设备。夏季最好早晚运输。运输时所用的槽（罐）车应有接地链，槽内可设孔隔板以减少</w:t>
            </w:r>
            <w:r>
              <w:rPr>
                <w:rFonts w:hint="eastAsia" w:asciiTheme="minorEastAsia" w:hAnsiTheme="minorEastAsia" w:cstheme="minorEastAsia"/>
                <w:color w:val="000000" w:themeColor="text1"/>
                <w:sz w:val="21"/>
                <w:szCs w:val="21"/>
                <w:lang w:val="en-US" w:eastAsia="zh-CN"/>
                <w14:textFill>
                  <w14:solidFill>
                    <w14:schemeClr w14:val="tx1"/>
                  </w14:solidFill>
                </w14:textFill>
              </w:rPr>
              <w:t>振荡</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产生静电。严禁与氧化剂等混装混运。运输途中应防暴晒、雨淋，防高温。中途停留时应远离火种、热源、高温区。装运该物品的车辆排气管必须配备阻火装置，禁止使用易产生火花的机械设备和工具装卸。公路运输时要按规定路线行驶，勿在居民区和人口稠密区停留，铁路运输时禁止溜放。严禁用木船、水泥船散装运输。</w:t>
            </w:r>
          </w:p>
        </w:tc>
      </w:tr>
      <w:tr w14:paraId="5819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054A580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6750D40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操作注意事项</w:t>
            </w:r>
          </w:p>
        </w:tc>
        <w:tc>
          <w:tcPr>
            <w:tcW w:w="7152" w:type="dxa"/>
            <w:gridSpan w:val="10"/>
            <w:vAlign w:val="center"/>
          </w:tcPr>
          <w:p w14:paraId="6D0F199D">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密闭操作，全面通风。操作人员必须经过专门培训，严格遵守操作规程。建议操作人员穿防静电工作服，戴橡胶耐油手套。远离火种、热源，工作场所严禁吸烟。使用防爆型的通风系统和设备。防止蒸气泄漏到工作场所空气中。避免与氧化剂接触。灌装时应控制流速，且有接地装置，防止静电积聚。搬运时要轻装轻卸，防止包装及容器损坏。配备相应品种和数量的消防器材及泄漏应急处理设备。倒空的容器可能残留有害物。</w:t>
            </w:r>
          </w:p>
        </w:tc>
      </w:tr>
      <w:tr w14:paraId="232D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4B0B1FE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急救措施</w:t>
            </w:r>
          </w:p>
        </w:tc>
        <w:tc>
          <w:tcPr>
            <w:tcW w:w="1670" w:type="dxa"/>
            <w:vAlign w:val="center"/>
          </w:tcPr>
          <w:p w14:paraId="72BD7A3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皮肤接触</w:t>
            </w:r>
          </w:p>
        </w:tc>
        <w:tc>
          <w:tcPr>
            <w:tcW w:w="7152" w:type="dxa"/>
            <w:gridSpan w:val="10"/>
            <w:vAlign w:val="center"/>
          </w:tcPr>
          <w:p w14:paraId="222EC93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立即脱去污染的衣着，用肥皂水和清水彻底冲洗皮肤。就医。</w:t>
            </w:r>
          </w:p>
        </w:tc>
      </w:tr>
      <w:tr w14:paraId="1270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8501C24">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076E89F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眼睛接触</w:t>
            </w:r>
          </w:p>
        </w:tc>
        <w:tc>
          <w:tcPr>
            <w:tcW w:w="7152" w:type="dxa"/>
            <w:gridSpan w:val="10"/>
            <w:vAlign w:val="center"/>
          </w:tcPr>
          <w:p w14:paraId="73555C4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立即提起眼睑，用大量流动清水或生理盐水彻底冲洗。就医。</w:t>
            </w:r>
          </w:p>
        </w:tc>
      </w:tr>
      <w:tr w14:paraId="351E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210EB9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A83BAD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吸入</w:t>
            </w:r>
          </w:p>
        </w:tc>
        <w:tc>
          <w:tcPr>
            <w:tcW w:w="7152" w:type="dxa"/>
            <w:gridSpan w:val="10"/>
            <w:vAlign w:val="center"/>
          </w:tcPr>
          <w:p w14:paraId="5DB4A34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迅速脱离现场至空气新鲜处。保持呼吸道通畅。如呼吸困难，给输氧。如呼吸停止，立即进行人工呼吸。就医。</w:t>
            </w:r>
          </w:p>
        </w:tc>
      </w:tr>
      <w:tr w14:paraId="18D7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9AFE81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E62183C">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食入</w:t>
            </w:r>
          </w:p>
        </w:tc>
        <w:tc>
          <w:tcPr>
            <w:tcW w:w="7152" w:type="dxa"/>
            <w:gridSpan w:val="10"/>
            <w:vAlign w:val="center"/>
          </w:tcPr>
          <w:p w14:paraId="03FB4FA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漱口，饮水。禁止催吐。就医。</w:t>
            </w:r>
          </w:p>
        </w:tc>
      </w:tr>
      <w:tr w14:paraId="306C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2D4057CC">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防护措施</w:t>
            </w:r>
          </w:p>
        </w:tc>
        <w:tc>
          <w:tcPr>
            <w:tcW w:w="1670" w:type="dxa"/>
            <w:vAlign w:val="center"/>
          </w:tcPr>
          <w:p w14:paraId="34263B5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工程控制</w:t>
            </w:r>
          </w:p>
        </w:tc>
        <w:tc>
          <w:tcPr>
            <w:tcW w:w="7152" w:type="dxa"/>
            <w:gridSpan w:val="10"/>
            <w:vAlign w:val="center"/>
          </w:tcPr>
          <w:p w14:paraId="6C2F20A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生产过程密闭，全面通风。</w:t>
            </w:r>
          </w:p>
        </w:tc>
      </w:tr>
      <w:tr w14:paraId="42EB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71DA40D">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DB8BED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呼吸系统防护</w:t>
            </w:r>
          </w:p>
        </w:tc>
        <w:tc>
          <w:tcPr>
            <w:tcW w:w="7152" w:type="dxa"/>
            <w:gridSpan w:val="10"/>
            <w:vAlign w:val="center"/>
          </w:tcPr>
          <w:p w14:paraId="3A97705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一般不需要特殊防护，高浓度接触时可佩戴自吸过滤式防毒面具（半面罩）。</w:t>
            </w:r>
          </w:p>
        </w:tc>
      </w:tr>
      <w:tr w14:paraId="1A54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60E3DC90">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F02510C">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眼睛防护</w:t>
            </w:r>
          </w:p>
        </w:tc>
        <w:tc>
          <w:tcPr>
            <w:tcW w:w="7152" w:type="dxa"/>
            <w:gridSpan w:val="10"/>
            <w:vAlign w:val="center"/>
          </w:tcPr>
          <w:p w14:paraId="42B2E23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一般不需要特殊防护，高浓度接触时可戴化学安全防护眼镜。</w:t>
            </w:r>
          </w:p>
        </w:tc>
      </w:tr>
      <w:tr w14:paraId="0743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3446269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DEB106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身体防护</w:t>
            </w:r>
          </w:p>
        </w:tc>
        <w:tc>
          <w:tcPr>
            <w:tcW w:w="7152" w:type="dxa"/>
            <w:gridSpan w:val="10"/>
            <w:vAlign w:val="center"/>
          </w:tcPr>
          <w:p w14:paraId="173C004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穿防静电工作服。</w:t>
            </w:r>
          </w:p>
        </w:tc>
      </w:tr>
      <w:tr w14:paraId="7E56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048A437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E42C8FE">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手防护</w:t>
            </w:r>
          </w:p>
        </w:tc>
        <w:tc>
          <w:tcPr>
            <w:tcW w:w="7152" w:type="dxa"/>
            <w:gridSpan w:val="10"/>
            <w:vAlign w:val="center"/>
          </w:tcPr>
          <w:p w14:paraId="2D8BC57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戴橡胶耐油手套。</w:t>
            </w:r>
          </w:p>
        </w:tc>
      </w:tr>
      <w:tr w14:paraId="1D89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E0039CA">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123B740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其他防护</w:t>
            </w:r>
          </w:p>
        </w:tc>
        <w:tc>
          <w:tcPr>
            <w:tcW w:w="7152" w:type="dxa"/>
            <w:gridSpan w:val="10"/>
            <w:vAlign w:val="center"/>
          </w:tcPr>
          <w:p w14:paraId="1E6CA09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工作现场严禁吸烟。避免长期反复接触。</w:t>
            </w:r>
          </w:p>
        </w:tc>
      </w:tr>
      <w:tr w14:paraId="1B7A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2" w:hRule="atLeast"/>
        </w:trPr>
        <w:tc>
          <w:tcPr>
            <w:tcW w:w="579" w:type="dxa"/>
            <w:vAlign w:val="center"/>
          </w:tcPr>
          <w:p w14:paraId="0D0E1EA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泄漏应急处理</w:t>
            </w:r>
          </w:p>
        </w:tc>
        <w:tc>
          <w:tcPr>
            <w:tcW w:w="8822" w:type="dxa"/>
            <w:gridSpan w:val="11"/>
            <w:vAlign w:val="center"/>
          </w:tcPr>
          <w:p w14:paraId="2D02A95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迅速撤离泄漏污染区人员至安全区，并进行隔离，严格限制出入。切断火源。建议应急处理人员戴自给正压式呼吸器，穿防静电工作服。尽可能切断泄漏源。防止流入下水道、排洪沟等限制性空间。小量泄漏：用</w:t>
            </w:r>
            <w:r>
              <w:rPr>
                <w:rFonts w:hint="eastAsia" w:asciiTheme="minorEastAsia" w:hAnsiTheme="minorEastAsia" w:cstheme="minorEastAsia"/>
                <w:color w:val="000000" w:themeColor="text1"/>
                <w:sz w:val="21"/>
                <w:szCs w:val="21"/>
                <w:lang w:val="en-US" w:eastAsia="zh-CN"/>
                <w14:textFill>
                  <w14:solidFill>
                    <w14:schemeClr w14:val="tx1"/>
                  </w14:solidFill>
                </w14:textFill>
              </w:rPr>
              <w:t>沙土</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r>
    </w:tbl>
    <w:p w14:paraId="4EAB9E53">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center"/>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表</w:t>
      </w:r>
      <w:r>
        <w:rPr>
          <w:rFonts w:hint="eastAsia" w:ascii="宋体" w:hAnsi="宋体" w:eastAsia="宋体" w:cs="宋体"/>
          <w:color w:val="auto"/>
          <w:kern w:val="0"/>
          <w:sz w:val="28"/>
          <w:szCs w:val="28"/>
          <w:lang w:val="en-US" w:eastAsia="zh-CN"/>
        </w:rPr>
        <w:t>3</w:t>
      </w:r>
      <w:r>
        <w:rPr>
          <w:rFonts w:hint="default" w:ascii="宋体" w:hAnsi="宋体" w:eastAsia="宋体" w:cs="宋体"/>
          <w:color w:val="auto"/>
          <w:kern w:val="0"/>
          <w:sz w:val="28"/>
          <w:szCs w:val="28"/>
          <w:lang w:val="en-US" w:eastAsia="zh-CN"/>
        </w:rPr>
        <w:t>-</w:t>
      </w:r>
      <w:r>
        <w:rPr>
          <w:rFonts w:hint="eastAsia" w:ascii="宋体" w:hAnsi="宋体" w:eastAsia="宋体" w:cs="宋体"/>
          <w:color w:val="auto"/>
          <w:kern w:val="0"/>
          <w:sz w:val="28"/>
          <w:szCs w:val="28"/>
          <w:lang w:val="en-US" w:eastAsia="zh-CN"/>
        </w:rPr>
        <w:t>3柴油</w:t>
      </w:r>
      <w:r>
        <w:rPr>
          <w:rFonts w:hint="default" w:ascii="宋体" w:hAnsi="宋体" w:eastAsia="宋体" w:cs="宋体"/>
          <w:color w:val="auto"/>
          <w:kern w:val="0"/>
          <w:sz w:val="28"/>
          <w:szCs w:val="28"/>
          <w:lang w:val="en-US" w:eastAsia="zh-CN"/>
        </w:rPr>
        <w:t>的理化特性及应急处置措施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1670"/>
        <w:gridCol w:w="1430"/>
        <w:gridCol w:w="660"/>
        <w:gridCol w:w="294"/>
        <w:gridCol w:w="476"/>
        <w:gridCol w:w="540"/>
        <w:gridCol w:w="890"/>
        <w:gridCol w:w="330"/>
        <w:gridCol w:w="148"/>
        <w:gridCol w:w="952"/>
        <w:gridCol w:w="1432"/>
      </w:tblGrid>
      <w:tr w14:paraId="1110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27C173C1">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标识</w:t>
            </w:r>
          </w:p>
        </w:tc>
        <w:tc>
          <w:tcPr>
            <w:tcW w:w="1670" w:type="dxa"/>
            <w:vAlign w:val="center"/>
          </w:tcPr>
          <w:p w14:paraId="4632FE5F">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中文名</w:t>
            </w:r>
          </w:p>
        </w:tc>
        <w:tc>
          <w:tcPr>
            <w:tcW w:w="3400" w:type="dxa"/>
            <w:gridSpan w:val="5"/>
            <w:vAlign w:val="center"/>
          </w:tcPr>
          <w:p w14:paraId="6199155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柴油</w:t>
            </w:r>
          </w:p>
        </w:tc>
        <w:tc>
          <w:tcPr>
            <w:tcW w:w="1220" w:type="dxa"/>
            <w:gridSpan w:val="2"/>
            <w:vAlign w:val="center"/>
          </w:tcPr>
          <w:p w14:paraId="3A642999">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序号</w:t>
            </w:r>
          </w:p>
        </w:tc>
        <w:tc>
          <w:tcPr>
            <w:tcW w:w="2532" w:type="dxa"/>
            <w:gridSpan w:val="3"/>
            <w:vAlign w:val="center"/>
          </w:tcPr>
          <w:p w14:paraId="422BDDA1">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1674</w:t>
            </w:r>
          </w:p>
        </w:tc>
      </w:tr>
      <w:tr w14:paraId="2612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67AC2B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6C31565">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英文名</w:t>
            </w:r>
          </w:p>
        </w:tc>
        <w:tc>
          <w:tcPr>
            <w:tcW w:w="3400" w:type="dxa"/>
            <w:gridSpan w:val="5"/>
            <w:vAlign w:val="center"/>
          </w:tcPr>
          <w:p w14:paraId="6AC257ED">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Dieseloil</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Dieselfuel</w:t>
            </w:r>
          </w:p>
        </w:tc>
        <w:tc>
          <w:tcPr>
            <w:tcW w:w="1220" w:type="dxa"/>
            <w:gridSpan w:val="2"/>
            <w:vAlign w:val="center"/>
          </w:tcPr>
          <w:p w14:paraId="4C76CDD8">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CAS号</w:t>
            </w:r>
          </w:p>
        </w:tc>
        <w:tc>
          <w:tcPr>
            <w:tcW w:w="2532" w:type="dxa"/>
            <w:gridSpan w:val="3"/>
            <w:vAlign w:val="center"/>
          </w:tcPr>
          <w:p w14:paraId="471686E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无资料</w:t>
            </w:r>
          </w:p>
        </w:tc>
      </w:tr>
      <w:tr w14:paraId="73BD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7C701251">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理化性质</w:t>
            </w:r>
          </w:p>
        </w:tc>
        <w:tc>
          <w:tcPr>
            <w:tcW w:w="1670" w:type="dxa"/>
            <w:vAlign w:val="center"/>
          </w:tcPr>
          <w:p w14:paraId="7C7151D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外观与性状</w:t>
            </w:r>
          </w:p>
        </w:tc>
        <w:tc>
          <w:tcPr>
            <w:tcW w:w="7152" w:type="dxa"/>
            <w:gridSpan w:val="10"/>
            <w:vAlign w:val="center"/>
          </w:tcPr>
          <w:p w14:paraId="63CCE6C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稍</w:t>
            </w:r>
            <w:r>
              <w:rPr>
                <w:rFonts w:hint="eastAsia" w:asciiTheme="minorEastAsia" w:hAnsiTheme="minorEastAsia" w:cstheme="minorEastAsia"/>
                <w:color w:val="000000" w:themeColor="text1"/>
                <w:sz w:val="21"/>
                <w:szCs w:val="21"/>
                <w:lang w:val="en-US" w:eastAsia="zh-CN"/>
                <w14:textFill>
                  <w14:solidFill>
                    <w14:schemeClr w14:val="tx1"/>
                  </w14:solidFill>
                </w14:textFill>
              </w:rPr>
              <w:t>有黏性</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的浅黄至棕色液体。</w:t>
            </w:r>
          </w:p>
        </w:tc>
      </w:tr>
      <w:tr w14:paraId="23EF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827245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0C053B02">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主要成分</w:t>
            </w:r>
          </w:p>
        </w:tc>
        <w:tc>
          <w:tcPr>
            <w:tcW w:w="7152" w:type="dxa"/>
            <w:gridSpan w:val="10"/>
            <w:vAlign w:val="center"/>
          </w:tcPr>
          <w:p w14:paraId="66094B6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烷烃、芳烃、烯烃等。</w:t>
            </w:r>
          </w:p>
        </w:tc>
      </w:tr>
      <w:tr w14:paraId="0E56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D39F157">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06D9409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熔点（℃）</w:t>
            </w:r>
          </w:p>
        </w:tc>
        <w:tc>
          <w:tcPr>
            <w:tcW w:w="2090" w:type="dxa"/>
            <w:gridSpan w:val="2"/>
            <w:vAlign w:val="center"/>
          </w:tcPr>
          <w:p w14:paraId="5ACCEF7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0</w:t>
            </w:r>
          </w:p>
        </w:tc>
        <w:tc>
          <w:tcPr>
            <w:tcW w:w="2530" w:type="dxa"/>
            <w:gridSpan w:val="5"/>
            <w:vAlign w:val="center"/>
          </w:tcPr>
          <w:p w14:paraId="6EE4AFB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相对密度（水=1）</w:t>
            </w:r>
          </w:p>
        </w:tc>
        <w:tc>
          <w:tcPr>
            <w:tcW w:w="2532" w:type="dxa"/>
            <w:gridSpan w:val="3"/>
            <w:vAlign w:val="center"/>
          </w:tcPr>
          <w:p w14:paraId="1B1CDBEA">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w:t>
            </w:r>
            <w:r>
              <w:rPr>
                <w:rFonts w:hint="eastAsia" w:asciiTheme="minorEastAsia" w:hAnsiTheme="minorEastAsia" w:cstheme="minorEastAsia"/>
                <w:color w:val="000000" w:themeColor="text1"/>
                <w:sz w:val="21"/>
                <w:szCs w:val="21"/>
                <w:lang w:val="en-US" w:eastAsia="zh-CN"/>
                <w14:textFill>
                  <w14:solidFill>
                    <w14:schemeClr w14:val="tx1"/>
                  </w14:solidFill>
                </w14:textFill>
              </w:rPr>
              <w:t>81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w:t>
            </w:r>
            <w:r>
              <w:rPr>
                <w:rFonts w:hint="eastAsia" w:asciiTheme="minorEastAsia" w:hAnsiTheme="minorEastAsia" w:cstheme="minorEastAsia"/>
                <w:color w:val="000000" w:themeColor="text1"/>
                <w:sz w:val="21"/>
                <w:szCs w:val="21"/>
                <w:lang w:val="en-US" w:eastAsia="zh-CN"/>
                <w14:textFill>
                  <w14:solidFill>
                    <w14:schemeClr w14:val="tx1"/>
                  </w14:solidFill>
                </w14:textFill>
              </w:rPr>
              <w:t>845</w:t>
            </w:r>
          </w:p>
        </w:tc>
      </w:tr>
      <w:tr w14:paraId="31CA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9B3C8A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270AFE2">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沸点（℃）</w:t>
            </w:r>
          </w:p>
        </w:tc>
        <w:tc>
          <w:tcPr>
            <w:tcW w:w="2090" w:type="dxa"/>
            <w:gridSpan w:val="2"/>
            <w:vAlign w:val="center"/>
          </w:tcPr>
          <w:p w14:paraId="7D31937B">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282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338</w:t>
            </w:r>
          </w:p>
        </w:tc>
        <w:tc>
          <w:tcPr>
            <w:tcW w:w="2530" w:type="dxa"/>
            <w:gridSpan w:val="5"/>
            <w:vAlign w:val="center"/>
          </w:tcPr>
          <w:p w14:paraId="2067BD2A">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饱和蒸汽压</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kPa</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p>
        </w:tc>
        <w:tc>
          <w:tcPr>
            <w:tcW w:w="2532" w:type="dxa"/>
            <w:gridSpan w:val="3"/>
            <w:vAlign w:val="center"/>
          </w:tcPr>
          <w:p w14:paraId="109724A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r>
      <w:tr w14:paraId="47AE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E6665E1">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200BBCD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溶解性</w:t>
            </w:r>
          </w:p>
        </w:tc>
        <w:tc>
          <w:tcPr>
            <w:tcW w:w="7152" w:type="dxa"/>
            <w:gridSpan w:val="10"/>
            <w:vAlign w:val="center"/>
          </w:tcPr>
          <w:p w14:paraId="36FF8BD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不溶于水，易溶于苯、二硫化碳、醇、脂肪。</w:t>
            </w:r>
          </w:p>
        </w:tc>
      </w:tr>
      <w:tr w14:paraId="0233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33132F69">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85A8D1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主要用途</w:t>
            </w:r>
          </w:p>
        </w:tc>
        <w:tc>
          <w:tcPr>
            <w:tcW w:w="7152" w:type="dxa"/>
            <w:gridSpan w:val="10"/>
            <w:vAlign w:val="center"/>
          </w:tcPr>
          <w:p w14:paraId="3CC99543">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柴油机燃料。</w:t>
            </w:r>
          </w:p>
        </w:tc>
      </w:tr>
      <w:tr w14:paraId="2E0B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1A3034B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健康危害</w:t>
            </w:r>
          </w:p>
        </w:tc>
        <w:tc>
          <w:tcPr>
            <w:tcW w:w="1670" w:type="dxa"/>
            <w:vAlign w:val="center"/>
          </w:tcPr>
          <w:p w14:paraId="00E52792">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侵入途径</w:t>
            </w:r>
          </w:p>
        </w:tc>
        <w:tc>
          <w:tcPr>
            <w:tcW w:w="7152" w:type="dxa"/>
            <w:gridSpan w:val="10"/>
            <w:vAlign w:val="center"/>
          </w:tcPr>
          <w:p w14:paraId="4F9BD82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吸入、食入、经皮吸收。</w:t>
            </w:r>
          </w:p>
        </w:tc>
      </w:tr>
      <w:tr w14:paraId="069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A4A9ADF">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44C20D7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健康危害</w:t>
            </w:r>
          </w:p>
        </w:tc>
        <w:tc>
          <w:tcPr>
            <w:tcW w:w="7152" w:type="dxa"/>
            <w:gridSpan w:val="10"/>
            <w:vAlign w:val="center"/>
          </w:tcPr>
          <w:p w14:paraId="79FCE4F0">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皮肤接触可为主要吸收途径，可致</w:t>
            </w:r>
            <w:r>
              <w:rPr>
                <w:rFonts w:hint="eastAsia" w:asciiTheme="minorEastAsia" w:hAnsiTheme="minorEastAsia" w:cstheme="minorEastAsia"/>
                <w:color w:val="000000" w:themeColor="text1"/>
                <w:sz w:val="21"/>
                <w:szCs w:val="21"/>
                <w:lang w:val="en-US" w:eastAsia="zh-CN"/>
                <w14:textFill>
                  <w14:solidFill>
                    <w14:schemeClr w14:val="tx1"/>
                  </w14:solidFill>
                </w14:textFill>
              </w:rPr>
              <w:t>急性</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肾脏损害。柴</w:t>
            </w:r>
            <w:r>
              <w:rPr>
                <w:rFonts w:hint="eastAsia" w:asciiTheme="minorEastAsia" w:hAnsiTheme="minorEastAsia" w:cstheme="minorEastAsia"/>
                <w:color w:val="000000" w:themeColor="text1"/>
                <w:sz w:val="21"/>
                <w:szCs w:val="21"/>
                <w:lang w:val="en-US" w:eastAsia="zh-CN"/>
                <w14:textFill>
                  <w14:solidFill>
                    <w14:schemeClr w14:val="tx1"/>
                  </w14:solidFill>
                </w14:textFill>
              </w:rPr>
              <w:t>油</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可引起接触性</w:t>
            </w:r>
            <w:r>
              <w:rPr>
                <w:rFonts w:hint="eastAsia" w:asciiTheme="minorEastAsia" w:hAnsiTheme="minorEastAsia" w:cstheme="minorEastAsia"/>
                <w:color w:val="000000" w:themeColor="text1"/>
                <w:sz w:val="21"/>
                <w:szCs w:val="21"/>
                <w:lang w:val="en-US" w:eastAsia="zh-CN"/>
                <w14:textFill>
                  <w14:solidFill>
                    <w14:schemeClr w14:val="tx1"/>
                  </w14:solidFill>
                </w14:textFill>
              </w:rPr>
              <w:t>皮炎、油性痤疮</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，吸入其雾滴或液体呛入可引起吸入性肺炎。</w:t>
            </w:r>
            <w:r>
              <w:rPr>
                <w:rFonts w:hint="eastAsia" w:asciiTheme="minorEastAsia" w:hAnsiTheme="minorEastAsia" w:cstheme="minorEastAsia"/>
                <w:color w:val="000000" w:themeColor="text1"/>
                <w:sz w:val="21"/>
                <w:szCs w:val="21"/>
                <w:lang w:val="en-US" w:eastAsia="zh-CN"/>
                <w14:textFill>
                  <w14:solidFill>
                    <w14:schemeClr w14:val="tx1"/>
                  </w14:solidFill>
                </w14:textFill>
              </w:rPr>
              <w:t>能经胎盘进入胎儿血中。柴油废气可引起眼、鼻刺激症状，头晕及头痛。</w:t>
            </w:r>
          </w:p>
        </w:tc>
      </w:tr>
      <w:tr w14:paraId="651A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435F81F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燃烧爆炸危险性</w:t>
            </w:r>
          </w:p>
        </w:tc>
        <w:tc>
          <w:tcPr>
            <w:tcW w:w="1670" w:type="dxa"/>
            <w:vAlign w:val="center"/>
          </w:tcPr>
          <w:p w14:paraId="756F941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燃烧性</w:t>
            </w:r>
          </w:p>
        </w:tc>
        <w:tc>
          <w:tcPr>
            <w:tcW w:w="2384" w:type="dxa"/>
            <w:gridSpan w:val="3"/>
            <w:vAlign w:val="center"/>
          </w:tcPr>
          <w:p w14:paraId="07742E7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易燃</w:t>
            </w:r>
          </w:p>
        </w:tc>
        <w:tc>
          <w:tcPr>
            <w:tcW w:w="2384" w:type="dxa"/>
            <w:gridSpan w:val="5"/>
            <w:vAlign w:val="center"/>
          </w:tcPr>
          <w:p w14:paraId="1361D19D">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有害燃烧产物</w:t>
            </w:r>
          </w:p>
        </w:tc>
        <w:tc>
          <w:tcPr>
            <w:tcW w:w="2384" w:type="dxa"/>
            <w:gridSpan w:val="2"/>
            <w:vAlign w:val="center"/>
          </w:tcPr>
          <w:p w14:paraId="18FE0A2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一氧化碳、二氧化碳</w:t>
            </w:r>
          </w:p>
        </w:tc>
      </w:tr>
      <w:tr w14:paraId="4053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0FC973C">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20E5AA1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闪点（℃）</w:t>
            </w:r>
          </w:p>
        </w:tc>
        <w:tc>
          <w:tcPr>
            <w:tcW w:w="2384" w:type="dxa"/>
            <w:gridSpan w:val="3"/>
            <w:vAlign w:val="center"/>
          </w:tcPr>
          <w:p w14:paraId="456F042E">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不小于60</w:t>
            </w:r>
          </w:p>
        </w:tc>
        <w:tc>
          <w:tcPr>
            <w:tcW w:w="2384" w:type="dxa"/>
            <w:gridSpan w:val="5"/>
            <w:vAlign w:val="center"/>
          </w:tcPr>
          <w:p w14:paraId="05F7F081">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爆炸上限（v%）</w:t>
            </w:r>
          </w:p>
        </w:tc>
        <w:tc>
          <w:tcPr>
            <w:tcW w:w="2384" w:type="dxa"/>
            <w:gridSpan w:val="2"/>
            <w:vAlign w:val="center"/>
          </w:tcPr>
          <w:p w14:paraId="3951E0DC">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无资料</w:t>
            </w:r>
          </w:p>
        </w:tc>
      </w:tr>
      <w:tr w14:paraId="6A9E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9" w:type="dxa"/>
            <w:vMerge w:val="continue"/>
            <w:vAlign w:val="center"/>
          </w:tcPr>
          <w:p w14:paraId="6218EFED">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F7D44AB">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引燃温度（℃）</w:t>
            </w:r>
          </w:p>
        </w:tc>
        <w:tc>
          <w:tcPr>
            <w:tcW w:w="2384" w:type="dxa"/>
            <w:gridSpan w:val="3"/>
            <w:vAlign w:val="center"/>
          </w:tcPr>
          <w:p w14:paraId="272D1F58">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257</w:t>
            </w:r>
          </w:p>
        </w:tc>
        <w:tc>
          <w:tcPr>
            <w:tcW w:w="2384" w:type="dxa"/>
            <w:gridSpan w:val="5"/>
            <w:vAlign w:val="center"/>
          </w:tcPr>
          <w:p w14:paraId="0F7B80E3">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爆炸下限（v%）</w:t>
            </w:r>
          </w:p>
        </w:tc>
        <w:tc>
          <w:tcPr>
            <w:tcW w:w="2384" w:type="dxa"/>
            <w:gridSpan w:val="2"/>
            <w:vAlign w:val="center"/>
          </w:tcPr>
          <w:p w14:paraId="69AF308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无资料</w:t>
            </w:r>
          </w:p>
        </w:tc>
      </w:tr>
      <w:tr w14:paraId="34D1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659A372B">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F94DF97">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危险特性</w:t>
            </w:r>
          </w:p>
        </w:tc>
        <w:tc>
          <w:tcPr>
            <w:tcW w:w="7152" w:type="dxa"/>
            <w:gridSpan w:val="10"/>
            <w:vAlign w:val="center"/>
          </w:tcPr>
          <w:p w14:paraId="5418247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遇明火、高热或与氧化剂接触，有引起燃烧爆炸的危险。若高热，</w:t>
            </w:r>
            <w:r>
              <w:rPr>
                <w:rFonts w:hint="eastAsia" w:asciiTheme="minorEastAsia" w:hAnsiTheme="minorEastAsia" w:cstheme="minorEastAsia"/>
                <w:color w:val="000000" w:themeColor="text1"/>
                <w:sz w:val="21"/>
                <w:szCs w:val="21"/>
                <w:lang w:val="en-US" w:eastAsia="zh-CN"/>
                <w14:textFill>
                  <w14:solidFill>
                    <w14:schemeClr w14:val="tx1"/>
                  </w14:solidFill>
                </w14:textFill>
              </w:rPr>
              <w:t>容器内</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压增大，有开裂和爆炸的危险。</w:t>
            </w:r>
          </w:p>
        </w:tc>
      </w:tr>
      <w:tr w14:paraId="2F90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6154A97E">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2257F81F">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建规火险分级</w:t>
            </w:r>
          </w:p>
        </w:tc>
        <w:tc>
          <w:tcPr>
            <w:tcW w:w="1430" w:type="dxa"/>
            <w:vAlign w:val="center"/>
          </w:tcPr>
          <w:p w14:paraId="4521AE9E">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丙</w:t>
            </w:r>
          </w:p>
        </w:tc>
        <w:tc>
          <w:tcPr>
            <w:tcW w:w="1430" w:type="dxa"/>
            <w:gridSpan w:val="3"/>
            <w:vAlign w:val="center"/>
          </w:tcPr>
          <w:p w14:paraId="1D32B032">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稳定性</w:t>
            </w:r>
          </w:p>
        </w:tc>
        <w:tc>
          <w:tcPr>
            <w:tcW w:w="1430" w:type="dxa"/>
            <w:gridSpan w:val="2"/>
            <w:vAlign w:val="center"/>
          </w:tcPr>
          <w:p w14:paraId="2FE3E6E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稳定</w:t>
            </w:r>
          </w:p>
        </w:tc>
        <w:tc>
          <w:tcPr>
            <w:tcW w:w="1430" w:type="dxa"/>
            <w:gridSpan w:val="3"/>
            <w:vAlign w:val="center"/>
          </w:tcPr>
          <w:p w14:paraId="70AB0DB0">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聚合危害</w:t>
            </w:r>
          </w:p>
        </w:tc>
        <w:tc>
          <w:tcPr>
            <w:tcW w:w="1432" w:type="dxa"/>
            <w:vAlign w:val="center"/>
          </w:tcPr>
          <w:p w14:paraId="43D63286">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不出现</w:t>
            </w:r>
          </w:p>
        </w:tc>
      </w:tr>
      <w:tr w14:paraId="4AF6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52B62DDA">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127C44B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禁忌物</w:t>
            </w:r>
          </w:p>
        </w:tc>
        <w:tc>
          <w:tcPr>
            <w:tcW w:w="7152" w:type="dxa"/>
            <w:gridSpan w:val="10"/>
            <w:vAlign w:val="center"/>
          </w:tcPr>
          <w:p w14:paraId="659E9CA7">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强氧化剂</w:t>
            </w:r>
            <w:r>
              <w:rPr>
                <w:rFonts w:hint="eastAsia" w:asciiTheme="minorEastAsia" w:hAnsiTheme="minorEastAsia" w:cstheme="minorEastAsia"/>
                <w:color w:val="000000" w:themeColor="text1"/>
                <w:sz w:val="21"/>
                <w:szCs w:val="21"/>
                <w:lang w:val="en-US" w:eastAsia="zh-CN"/>
                <w14:textFill>
                  <w14:solidFill>
                    <w14:schemeClr w14:val="tx1"/>
                  </w14:solidFill>
                </w14:textFill>
              </w:rPr>
              <w:t>、卤素。</w:t>
            </w:r>
          </w:p>
        </w:tc>
      </w:tr>
      <w:tr w14:paraId="5444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0B9CA68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C2F6F9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灭火方法</w:t>
            </w:r>
          </w:p>
        </w:tc>
        <w:tc>
          <w:tcPr>
            <w:tcW w:w="7152" w:type="dxa"/>
            <w:gridSpan w:val="10"/>
            <w:vAlign w:val="center"/>
          </w:tcPr>
          <w:p w14:paraId="3DDAA8B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消防人员须</w:t>
            </w:r>
            <w:r>
              <w:rPr>
                <w:rFonts w:hint="eastAsia" w:asciiTheme="minorEastAsia" w:hAnsiTheme="minorEastAsia" w:cstheme="minorEastAsia"/>
                <w:color w:val="000000" w:themeColor="text1"/>
                <w:sz w:val="21"/>
                <w:szCs w:val="21"/>
                <w:lang w:val="en-US" w:eastAsia="zh-CN"/>
                <w14:textFill>
                  <w14:solidFill>
                    <w14:schemeClr w14:val="tx1"/>
                  </w14:solidFill>
                </w14:textFill>
              </w:rPr>
              <w:t>佩戴</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防毒面具、穿全身消防服，在上风向灭火。尽可能将容器</w:t>
            </w:r>
            <w:r>
              <w:rPr>
                <w:rFonts w:hint="eastAsia" w:asciiTheme="minorEastAsia" w:hAnsiTheme="minorEastAsia" w:cstheme="minorEastAsia"/>
                <w:color w:val="000000" w:themeColor="text1"/>
                <w:sz w:val="21"/>
                <w:szCs w:val="21"/>
                <w:lang w:val="en-US" w:eastAsia="zh-CN"/>
                <w14:textFill>
                  <w14:solidFill>
                    <w14:schemeClr w14:val="tx1"/>
                  </w14:solidFill>
                </w14:textFill>
              </w:rPr>
              <w:t>从</w:t>
            </w:r>
          </w:p>
          <w:p w14:paraId="136D47A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火场移至空旷处。喷水保持火场容器冷却，直至灭火结束。处在火场中的</w:t>
            </w:r>
            <w:r>
              <w:rPr>
                <w:rFonts w:hint="eastAsia" w:asciiTheme="minorEastAsia" w:hAnsiTheme="minorEastAsia" w:cstheme="minorEastAsia"/>
                <w:color w:val="000000" w:themeColor="text1"/>
                <w:sz w:val="21"/>
                <w:szCs w:val="21"/>
                <w:lang w:val="en-US" w:eastAsia="zh-CN"/>
                <w14:textFill>
                  <w14:solidFill>
                    <w14:schemeClr w14:val="tx1"/>
                  </w14:solidFill>
                </w14:textFill>
              </w:rPr>
              <w:t>容</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器若已变色或从安全泄压装置中产生声音，必须马上撤离。灭火剂</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雾状水</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泡沫、干粉、二氧化碳、砂土。</w:t>
            </w:r>
          </w:p>
        </w:tc>
      </w:tr>
      <w:tr w14:paraId="5C19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1B502A5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毒理学资料</w:t>
            </w:r>
          </w:p>
        </w:tc>
        <w:tc>
          <w:tcPr>
            <w:tcW w:w="1670" w:type="dxa"/>
            <w:vAlign w:val="center"/>
          </w:tcPr>
          <w:p w14:paraId="2EF34D3E">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急性毒性</w:t>
            </w:r>
          </w:p>
        </w:tc>
        <w:tc>
          <w:tcPr>
            <w:tcW w:w="7152" w:type="dxa"/>
            <w:gridSpan w:val="10"/>
            <w:vAlign w:val="center"/>
          </w:tcPr>
          <w:p w14:paraId="1E1BD2A2">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LD</w:t>
            </w:r>
            <w:r>
              <w:rPr>
                <w:rFonts w:hint="eastAsia" w:asciiTheme="minorEastAsia" w:hAnsiTheme="minorEastAsia" w:eastAsiaTheme="minorEastAsia" w:cstheme="minorEastAsia"/>
                <w:color w:val="000000" w:themeColor="text1"/>
                <w:sz w:val="21"/>
                <w:szCs w:val="21"/>
                <w:vertAlign w:val="subscript"/>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无资料</w:t>
            </w:r>
          </w:p>
          <w:p w14:paraId="7581F69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LC</w:t>
            </w:r>
            <w:r>
              <w:rPr>
                <w:rFonts w:hint="eastAsia" w:asciiTheme="minorEastAsia" w:hAnsiTheme="minorEastAsia" w:eastAsiaTheme="minorEastAsia" w:cstheme="minorEastAsia"/>
                <w:color w:val="000000" w:themeColor="text1"/>
                <w:sz w:val="21"/>
                <w:szCs w:val="21"/>
                <w:vertAlign w:val="subscript"/>
                <w:lang w:val="en-US" w:eastAsia="zh-CN"/>
                <w14:textFill>
                  <w14:solidFill>
                    <w14:schemeClr w14:val="tx1"/>
                  </w14:solidFill>
                </w14:textFill>
              </w:rPr>
              <w:t>50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无资料</w:t>
            </w:r>
          </w:p>
        </w:tc>
      </w:tr>
      <w:tr w14:paraId="08FB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9FF4BD7">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4A827F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刺激性</w:t>
            </w:r>
          </w:p>
        </w:tc>
        <w:tc>
          <w:tcPr>
            <w:tcW w:w="7152" w:type="dxa"/>
            <w:gridSpan w:val="10"/>
            <w:vAlign w:val="center"/>
          </w:tcPr>
          <w:p w14:paraId="195B9C5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人经眼：140ppm/8h，轻度刺激。</w:t>
            </w:r>
          </w:p>
        </w:tc>
      </w:tr>
      <w:tr w14:paraId="4EC5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EFD0534">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7E3B20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其他有害作用</w:t>
            </w:r>
          </w:p>
        </w:tc>
        <w:tc>
          <w:tcPr>
            <w:tcW w:w="7152" w:type="dxa"/>
            <w:gridSpan w:val="10"/>
            <w:vAlign w:val="center"/>
          </w:tcPr>
          <w:p w14:paraId="44A413AD">
            <w:pPr>
              <w:bidi w:val="0"/>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该物质对环境有危害，建议不要让其进入环境。对水体和大气可造成污染</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破坏水生生物呼吸系统。对海藻应给予特别注意。</w:t>
            </w:r>
          </w:p>
        </w:tc>
      </w:tr>
      <w:tr w14:paraId="73F4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A5CE1EE">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A6C93EC">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废弃处置方法</w:t>
            </w:r>
          </w:p>
        </w:tc>
        <w:tc>
          <w:tcPr>
            <w:tcW w:w="7152" w:type="dxa"/>
            <w:gridSpan w:val="10"/>
            <w:vAlign w:val="center"/>
          </w:tcPr>
          <w:p w14:paraId="2A061673">
            <w:pPr>
              <w:bidi w:val="0"/>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处置前应参阅国家和地方有关法规。建议用焚烧法处置。</w:t>
            </w:r>
          </w:p>
        </w:tc>
      </w:tr>
      <w:tr w14:paraId="7E23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3DFBAE9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包装与运输</w:t>
            </w:r>
          </w:p>
        </w:tc>
        <w:tc>
          <w:tcPr>
            <w:tcW w:w="1670" w:type="dxa"/>
            <w:vAlign w:val="center"/>
          </w:tcPr>
          <w:p w14:paraId="2C62BD9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危险性类别</w:t>
            </w:r>
          </w:p>
        </w:tc>
        <w:tc>
          <w:tcPr>
            <w:tcW w:w="2384" w:type="dxa"/>
            <w:gridSpan w:val="3"/>
            <w:vAlign w:val="center"/>
          </w:tcPr>
          <w:p w14:paraId="26455E5D">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易燃液体类别</w:t>
            </w:r>
            <w:r>
              <w:rPr>
                <w:rFonts w:hint="eastAsia" w:asciiTheme="minorEastAsia" w:hAnsiTheme="minorEastAsia" w:cstheme="minorEastAsia"/>
                <w:color w:val="000000" w:themeColor="text1"/>
                <w:sz w:val="21"/>
                <w:szCs w:val="21"/>
                <w:lang w:val="en-US" w:eastAsia="zh-CN"/>
                <w14:textFill>
                  <w14:solidFill>
                    <w14:schemeClr w14:val="tx1"/>
                  </w14:solidFill>
                </w14:textFill>
              </w:rPr>
              <w:t>3</w:t>
            </w:r>
          </w:p>
        </w:tc>
        <w:tc>
          <w:tcPr>
            <w:tcW w:w="2384" w:type="dxa"/>
            <w:gridSpan w:val="5"/>
            <w:vAlign w:val="center"/>
          </w:tcPr>
          <w:p w14:paraId="5C7AD9C4">
            <w:pPr>
              <w:bidi w:val="0"/>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包装类别</w:t>
            </w:r>
          </w:p>
        </w:tc>
        <w:tc>
          <w:tcPr>
            <w:tcW w:w="2384" w:type="dxa"/>
            <w:gridSpan w:val="2"/>
            <w:vAlign w:val="center"/>
          </w:tcPr>
          <w:p w14:paraId="47824F8E">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Ⅲ</w:t>
            </w:r>
          </w:p>
        </w:tc>
      </w:tr>
      <w:tr w14:paraId="1F3E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4C1C391">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5B5F65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储存注意事项</w:t>
            </w:r>
          </w:p>
        </w:tc>
        <w:tc>
          <w:tcPr>
            <w:tcW w:w="7152" w:type="dxa"/>
            <w:gridSpan w:val="10"/>
            <w:vAlign w:val="center"/>
          </w:tcPr>
          <w:p w14:paraId="452FB715">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储存于阴凉、通风的库房。远离火种、热源。应与氧化剂、卤素分开存放、切忌混储。采用防爆型照明、通风设施。禁止使用易产生火花的机械设备</w:t>
            </w:r>
            <w:r>
              <w:rPr>
                <w:rFonts w:hint="eastAsia" w:asciiTheme="minorEastAsia" w:hAnsiTheme="minorEastAsia" w:cstheme="minorEastAsia"/>
                <w:color w:val="000000" w:themeColor="text1"/>
                <w:sz w:val="21"/>
                <w:szCs w:val="21"/>
                <w:lang w:val="en-US" w:eastAsia="zh-CN"/>
                <w14:textFill>
                  <w14:solidFill>
                    <w14:schemeClr w14:val="tx1"/>
                  </w14:solidFill>
                </w14:textFill>
              </w:rPr>
              <w:t>和</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工具。储区应备有泄漏应急处理设备和合适的收容材料。</w:t>
            </w:r>
          </w:p>
        </w:tc>
      </w:tr>
      <w:tr w14:paraId="03E4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966787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009A8B4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运输注意事项</w:t>
            </w:r>
          </w:p>
        </w:tc>
        <w:tc>
          <w:tcPr>
            <w:tcW w:w="7152" w:type="dxa"/>
            <w:gridSpan w:val="10"/>
            <w:vAlign w:val="center"/>
          </w:tcPr>
          <w:p w14:paraId="18189F0B">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运输前应先检查包装容器是否完整、密封，运输过程中要确保容器不泄漏</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不倒塌、不坠落、不损坏。运输时运输车辆应配备相应品种和数量的消防器材及泄漏应急处理设备。夏季最好早晚运输。运输时所用的槽</w:t>
            </w:r>
            <w:r>
              <w:rPr>
                <w:rFonts w:hint="eastAsia" w:asciiTheme="minorEastAsia" w:hAnsiTheme="minorEastAsia" w:cstheme="minorEastAsia"/>
                <w:color w:val="000000" w:themeColor="text1"/>
                <w:sz w:val="21"/>
                <w:szCs w:val="21"/>
                <w:lang w:val="en-US" w:eastAsia="zh-CN"/>
                <w14:textFill>
                  <w14:solidFill>
                    <w14:schemeClr w14:val="tx1"/>
                  </w14:solidFill>
                </w14:textFill>
              </w:rPr>
              <w:t>（罐）</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车应有接地链，槽内可设孔隔板以减少</w:t>
            </w:r>
            <w:r>
              <w:rPr>
                <w:rFonts w:hint="eastAsia" w:asciiTheme="minorEastAsia" w:hAnsiTheme="minorEastAsia" w:cstheme="minorEastAsia"/>
                <w:color w:val="000000" w:themeColor="text1"/>
                <w:sz w:val="21"/>
                <w:szCs w:val="21"/>
                <w:lang w:val="en-US" w:eastAsia="zh-CN"/>
                <w14:textFill>
                  <w14:solidFill>
                    <w14:schemeClr w14:val="tx1"/>
                  </w14:solidFill>
                </w14:textFill>
              </w:rPr>
              <w:t>振荡</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产生静电。严与氧化剂、卤</w:t>
            </w:r>
            <w:r>
              <w:rPr>
                <w:rFonts w:hint="eastAsia" w:asciiTheme="minorEastAsia" w:hAnsiTheme="minorEastAsia" w:cstheme="minorEastAsia"/>
                <w:color w:val="000000" w:themeColor="text1"/>
                <w:sz w:val="21"/>
                <w:szCs w:val="21"/>
                <w:lang w:val="en-US" w:eastAsia="zh-CN"/>
                <w14:textFill>
                  <w14:solidFill>
                    <w14:schemeClr w14:val="tx1"/>
                  </w14:solidFill>
                </w14:textFill>
              </w:rPr>
              <w:t>素</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、食</w:t>
            </w:r>
            <w:r>
              <w:rPr>
                <w:rFonts w:hint="eastAsia" w:asciiTheme="minorEastAsia" w:hAnsiTheme="minorEastAsia" w:cstheme="minorEastAsia"/>
                <w:color w:val="000000" w:themeColor="text1"/>
                <w:sz w:val="21"/>
                <w:szCs w:val="21"/>
                <w:lang w:val="en-US" w:eastAsia="zh-CN"/>
                <w14:textFill>
                  <w14:solidFill>
                    <w14:schemeClr w14:val="tx1"/>
                  </w14:solidFill>
                </w14:textFill>
              </w:rPr>
              <w:t>用</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化学品等混装混运。运输途中应防</w:t>
            </w:r>
            <w:r>
              <w:rPr>
                <w:rFonts w:hint="eastAsia" w:asciiTheme="minorEastAsia" w:hAnsiTheme="minorEastAsia" w:cstheme="minorEastAsia"/>
                <w:color w:val="000000" w:themeColor="text1"/>
                <w:sz w:val="21"/>
                <w:szCs w:val="21"/>
                <w:lang w:val="en-US" w:eastAsia="zh-CN"/>
                <w14:textFill>
                  <w14:solidFill>
                    <w14:schemeClr w14:val="tx1"/>
                  </w14:solidFill>
                </w14:textFill>
              </w:rPr>
              <w:t>暴晒</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、雨淋，防高温。中途停留时应远离火种、热源、高温区。装运该物品的车辆排气管必须配备阻火装置，禁止</w:t>
            </w:r>
            <w:r>
              <w:rPr>
                <w:rFonts w:hint="eastAsia" w:asciiTheme="minorEastAsia" w:hAnsiTheme="minorEastAsia" w:cstheme="minorEastAsia"/>
                <w:color w:val="000000" w:themeColor="text1"/>
                <w:sz w:val="21"/>
                <w:szCs w:val="21"/>
                <w:lang w:val="en-US" w:eastAsia="zh-CN"/>
                <w14:textFill>
                  <w14:solidFill>
                    <w14:schemeClr w14:val="tx1"/>
                  </w14:solidFill>
                </w14:textFill>
              </w:rPr>
              <w:t>使用</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易产生火花的机械设备和工具装卸。运输车船必须彻底清洗、消毒，</w:t>
            </w:r>
            <w:r>
              <w:rPr>
                <w:rFonts w:hint="eastAsia" w:asciiTheme="minorEastAsia" w:hAnsiTheme="minorEastAsia" w:cstheme="minorEastAsia"/>
                <w:color w:val="000000" w:themeColor="text1"/>
                <w:sz w:val="21"/>
                <w:szCs w:val="21"/>
                <w:lang w:val="en-US" w:eastAsia="zh-CN"/>
                <w14:textFill>
                  <w14:solidFill>
                    <w14:schemeClr w14:val="tx1"/>
                  </w14:solidFill>
                </w14:textFill>
              </w:rPr>
              <w:t>否则</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不得装运其它物品。船运时，配装位置应远离卧室、厨房，并与机舱、电源</w:t>
            </w:r>
            <w:r>
              <w:rPr>
                <w:rFonts w:hint="eastAsia" w:asciiTheme="minorEastAsia" w:hAnsiTheme="minorEastAsia" w:cstheme="minorEastAsia"/>
                <w:color w:val="000000" w:themeColor="text1"/>
                <w:sz w:val="21"/>
                <w:szCs w:val="21"/>
                <w:lang w:val="en-US" w:eastAsia="zh-CN"/>
                <w14:textFill>
                  <w14:solidFill>
                    <w14:schemeClr w14:val="tx1"/>
                  </w14:solidFill>
                </w14:textFill>
              </w:rPr>
              <w:t>、火源</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等部位隔离。要按规定路线行驶。</w:t>
            </w:r>
          </w:p>
        </w:tc>
      </w:tr>
      <w:tr w14:paraId="3B82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2B3A341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3BD038C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操作注意事项</w:t>
            </w:r>
          </w:p>
        </w:tc>
        <w:tc>
          <w:tcPr>
            <w:tcW w:w="7152" w:type="dxa"/>
            <w:gridSpan w:val="10"/>
            <w:vAlign w:val="center"/>
          </w:tcPr>
          <w:p w14:paraId="4F4111B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密闭操作，注意通风。操作人员必须经过专门培训，严格遵守操作规程</w:t>
            </w:r>
            <w:r>
              <w:rPr>
                <w:rFonts w:hint="eastAsia" w:asciiTheme="minorEastAsia" w:hAnsiTheme="minorEastAsia" w:cstheme="minorEastAsia"/>
                <w:color w:val="000000" w:themeColor="text1"/>
                <w:sz w:val="21"/>
                <w:szCs w:val="21"/>
                <w:lang w:val="en-US" w:eastAsia="zh-CN"/>
                <w14:textFill>
                  <w14:solidFill>
                    <w14:schemeClr w14:val="tx1"/>
                  </w14:solidFill>
                </w14:textFill>
              </w:rPr>
              <w:t>。建</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议操作人员佩戴自吸过滤式防毒面具</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半</w:t>
            </w:r>
            <w:r>
              <w:rPr>
                <w:rFonts w:hint="eastAsia" w:asciiTheme="minorEastAsia" w:hAnsiTheme="minorEastAsia" w:cstheme="minorEastAsia"/>
                <w:color w:val="000000" w:themeColor="text1"/>
                <w:sz w:val="21"/>
                <w:szCs w:val="21"/>
                <w:lang w:val="en-US" w:eastAsia="zh-CN"/>
                <w14:textFill>
                  <w14:solidFill>
                    <w14:schemeClr w14:val="tx1"/>
                  </w14:solidFill>
                </w14:textFill>
              </w:rPr>
              <w:t>面罩）</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，戴化学安全防护眼镜</w:t>
            </w:r>
            <w:r>
              <w:rPr>
                <w:rFonts w:hint="eastAsia" w:asciiTheme="minorEastAsia" w:hAnsiTheme="minorEastAsia" w:cstheme="minorEastAsia"/>
                <w:color w:val="000000" w:themeColor="text1"/>
                <w:sz w:val="21"/>
                <w:szCs w:val="21"/>
                <w:lang w:val="en-US" w:eastAsia="zh-CN"/>
                <w14:textFill>
                  <w14:solidFill>
                    <w14:schemeClr w14:val="tx1"/>
                  </w14:solidFill>
                </w14:textFill>
              </w:rPr>
              <w:t>，戴</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橡胶耐油手套。远离火种、热源，工作场所严禁吸烟。使用防爆型的通</w:t>
            </w:r>
            <w:r>
              <w:rPr>
                <w:rFonts w:hint="eastAsia" w:asciiTheme="minorEastAsia" w:hAnsiTheme="minorEastAsia" w:cstheme="minorEastAsia"/>
                <w:color w:val="000000" w:themeColor="text1"/>
                <w:sz w:val="21"/>
                <w:szCs w:val="21"/>
                <w:lang w:val="en-US" w:eastAsia="zh-CN"/>
                <w14:textFill>
                  <w14:solidFill>
                    <w14:schemeClr w14:val="tx1"/>
                  </w14:solidFill>
                </w14:textFill>
              </w:rPr>
              <w:t>风系</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统和设备，防止蒸气泄漏到工作场所空气中。避免与氧化剂、卤素</w:t>
            </w:r>
            <w:r>
              <w:rPr>
                <w:rFonts w:hint="eastAsia" w:asciiTheme="minorEastAsia" w:hAnsiTheme="minorEastAsia" w:cstheme="minorEastAsia"/>
                <w:color w:val="000000" w:themeColor="text1"/>
                <w:sz w:val="21"/>
                <w:szCs w:val="21"/>
                <w:lang w:val="en-US" w:eastAsia="zh-CN"/>
                <w14:textFill>
                  <w14:solidFill>
                    <w14:schemeClr w14:val="tx1"/>
                  </w14:solidFill>
                </w14:textFill>
              </w:rPr>
              <w:t>接触。充</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装要控制流速，防止静电积聚。搬运时要轻装轻卸、防止包装及容器</w:t>
            </w:r>
            <w:r>
              <w:rPr>
                <w:rFonts w:hint="eastAsia" w:asciiTheme="minorEastAsia" w:hAnsiTheme="minorEastAsia" w:cstheme="minorEastAsia"/>
                <w:color w:val="000000" w:themeColor="text1"/>
                <w:sz w:val="21"/>
                <w:szCs w:val="21"/>
                <w:lang w:val="en-US" w:eastAsia="zh-CN"/>
                <w14:textFill>
                  <w14:solidFill>
                    <w14:schemeClr w14:val="tx1"/>
                  </w14:solidFill>
                </w14:textFill>
              </w:rPr>
              <w:t>损坏。</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配备相应品种和</w:t>
            </w:r>
            <w:r>
              <w:rPr>
                <w:rFonts w:hint="eastAsia" w:asciiTheme="minorEastAsia" w:hAnsiTheme="minorEastAsia" w:cstheme="minorEastAsia"/>
                <w:color w:val="000000" w:themeColor="text1"/>
                <w:sz w:val="21"/>
                <w:szCs w:val="21"/>
                <w:lang w:val="en-US" w:eastAsia="zh-CN"/>
                <w14:textFill>
                  <w14:solidFill>
                    <w14:schemeClr w14:val="tx1"/>
                  </w14:solidFill>
                </w14:textFill>
              </w:rPr>
              <w:t>数量</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的消防器材及泄漏应急处理设备。</w:t>
            </w:r>
            <w:r>
              <w:rPr>
                <w:rFonts w:hint="eastAsia" w:asciiTheme="minorEastAsia" w:hAnsiTheme="minorEastAsia" w:cstheme="minorEastAsia"/>
                <w:color w:val="000000" w:themeColor="text1"/>
                <w:sz w:val="21"/>
                <w:szCs w:val="21"/>
                <w:lang w:val="en-US" w:eastAsia="zh-CN"/>
                <w14:textFill>
                  <w14:solidFill>
                    <w14:schemeClr w14:val="tx1"/>
                  </w14:solidFill>
                </w14:textFill>
              </w:rPr>
              <w:t>倒</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空的容器可</w:t>
            </w:r>
            <w:r>
              <w:rPr>
                <w:rFonts w:hint="eastAsia" w:asciiTheme="minorEastAsia" w:hAnsiTheme="minorEastAsia" w:cstheme="minorEastAsia"/>
                <w:color w:val="000000" w:themeColor="text1"/>
                <w:sz w:val="21"/>
                <w:szCs w:val="21"/>
                <w:lang w:val="en-US" w:eastAsia="zh-CN"/>
                <w14:textFill>
                  <w14:solidFill>
                    <w14:schemeClr w14:val="tx1"/>
                  </w14:solidFill>
                </w14:textFill>
              </w:rPr>
              <w:t>能残留</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有害物。</w:t>
            </w:r>
          </w:p>
        </w:tc>
      </w:tr>
      <w:tr w14:paraId="4163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6414B4F8">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急救措施</w:t>
            </w:r>
          </w:p>
        </w:tc>
        <w:tc>
          <w:tcPr>
            <w:tcW w:w="1670" w:type="dxa"/>
            <w:vAlign w:val="center"/>
          </w:tcPr>
          <w:p w14:paraId="6284A7D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皮肤接触</w:t>
            </w:r>
          </w:p>
        </w:tc>
        <w:tc>
          <w:tcPr>
            <w:tcW w:w="7152" w:type="dxa"/>
            <w:gridSpan w:val="10"/>
            <w:vAlign w:val="center"/>
          </w:tcPr>
          <w:p w14:paraId="57A2576D">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立即脱去污染的衣着，用肥皂水和清水彻底冲洗皮肤。就医。</w:t>
            </w:r>
          </w:p>
        </w:tc>
      </w:tr>
      <w:tr w14:paraId="7716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35D6158C">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4ABCF29">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眼睛接触</w:t>
            </w:r>
          </w:p>
        </w:tc>
        <w:tc>
          <w:tcPr>
            <w:tcW w:w="7152" w:type="dxa"/>
            <w:gridSpan w:val="10"/>
            <w:vAlign w:val="center"/>
          </w:tcPr>
          <w:p w14:paraId="4137014E">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立即提起眼睑，用大量流动清水或生理盐水彻底冲洗。就医。</w:t>
            </w:r>
          </w:p>
        </w:tc>
      </w:tr>
      <w:tr w14:paraId="5DED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E83301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4B08D91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吸入</w:t>
            </w:r>
          </w:p>
        </w:tc>
        <w:tc>
          <w:tcPr>
            <w:tcW w:w="7152" w:type="dxa"/>
            <w:gridSpan w:val="10"/>
            <w:vAlign w:val="center"/>
          </w:tcPr>
          <w:p w14:paraId="3FBA82B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迅速脱离现场至空气新鲜处。保持呼吸道通畅。如呼吸困难，给输氧。如呼吸停止，立即进行人工呼吸。就医。</w:t>
            </w:r>
          </w:p>
        </w:tc>
      </w:tr>
      <w:tr w14:paraId="6945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1741B715">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160DD8F3">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食入</w:t>
            </w:r>
          </w:p>
        </w:tc>
        <w:tc>
          <w:tcPr>
            <w:tcW w:w="7152" w:type="dxa"/>
            <w:gridSpan w:val="10"/>
            <w:vAlign w:val="center"/>
          </w:tcPr>
          <w:p w14:paraId="167BAC7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漱口，饮水。禁止催吐。就医。</w:t>
            </w:r>
          </w:p>
        </w:tc>
      </w:tr>
      <w:tr w14:paraId="0665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restart"/>
            <w:vAlign w:val="center"/>
          </w:tcPr>
          <w:p w14:paraId="7D657A7C">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防护措施</w:t>
            </w:r>
          </w:p>
        </w:tc>
        <w:tc>
          <w:tcPr>
            <w:tcW w:w="1670" w:type="dxa"/>
            <w:vAlign w:val="center"/>
          </w:tcPr>
          <w:p w14:paraId="390FF85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工程控制</w:t>
            </w:r>
          </w:p>
        </w:tc>
        <w:tc>
          <w:tcPr>
            <w:tcW w:w="7152" w:type="dxa"/>
            <w:gridSpan w:val="10"/>
            <w:vAlign w:val="center"/>
          </w:tcPr>
          <w:p w14:paraId="795E8208">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生产过程密闭，全面通风。</w:t>
            </w:r>
          </w:p>
        </w:tc>
      </w:tr>
      <w:tr w14:paraId="1C02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5284A90">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A577FC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呼吸系统防护</w:t>
            </w:r>
          </w:p>
        </w:tc>
        <w:tc>
          <w:tcPr>
            <w:tcW w:w="7152" w:type="dxa"/>
            <w:gridSpan w:val="10"/>
            <w:vAlign w:val="center"/>
          </w:tcPr>
          <w:p w14:paraId="671E847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空气中浓度超标时，建议佩戴自吸过滤式防毒面具</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半面</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。紧急事态抢救或撤离时，应该</w:t>
            </w:r>
            <w:r>
              <w:rPr>
                <w:rFonts w:hint="eastAsia" w:asciiTheme="minorEastAsia" w:hAnsiTheme="minorEastAsia" w:cstheme="minorEastAsia"/>
                <w:color w:val="000000" w:themeColor="text1"/>
                <w:sz w:val="21"/>
                <w:szCs w:val="21"/>
                <w:lang w:val="en-US" w:eastAsia="zh-CN"/>
                <w14:textFill>
                  <w14:solidFill>
                    <w14:schemeClr w14:val="tx1"/>
                  </w14:solidFill>
                </w14:textFill>
              </w:rPr>
              <w:t>佩戴</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空气呼吸器。</w:t>
            </w:r>
          </w:p>
        </w:tc>
      </w:tr>
      <w:tr w14:paraId="4629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28E0347">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7E67BB47">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眼睛防护</w:t>
            </w:r>
          </w:p>
        </w:tc>
        <w:tc>
          <w:tcPr>
            <w:tcW w:w="7152" w:type="dxa"/>
            <w:gridSpan w:val="10"/>
            <w:vAlign w:val="center"/>
          </w:tcPr>
          <w:p w14:paraId="6118E9CF">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戴化学安全防护眼镜。</w:t>
            </w:r>
          </w:p>
        </w:tc>
      </w:tr>
      <w:tr w14:paraId="5A7B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45C39863">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1DB9BF6C">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身体防护</w:t>
            </w:r>
          </w:p>
        </w:tc>
        <w:tc>
          <w:tcPr>
            <w:tcW w:w="7152" w:type="dxa"/>
            <w:gridSpan w:val="10"/>
            <w:vAlign w:val="center"/>
          </w:tcPr>
          <w:p w14:paraId="2DC9C1CD">
            <w:pPr>
              <w:bidi w:val="0"/>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穿</w:t>
            </w:r>
            <w:r>
              <w:rPr>
                <w:rFonts w:hint="eastAsia" w:asciiTheme="minorEastAsia" w:hAnsiTheme="minorEastAsia" w:cstheme="minorEastAsia"/>
                <w:color w:val="000000" w:themeColor="text1"/>
                <w:sz w:val="21"/>
                <w:szCs w:val="21"/>
                <w:lang w:val="en-US" w:eastAsia="zh-CN"/>
                <w14:textFill>
                  <w14:solidFill>
                    <w14:schemeClr w14:val="tx1"/>
                  </w14:solidFill>
                </w14:textFill>
              </w:rPr>
              <w:t>一般作业防护服</w:t>
            </w:r>
          </w:p>
        </w:tc>
      </w:tr>
      <w:tr w14:paraId="736A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0E018322">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A633AB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手防护</w:t>
            </w:r>
          </w:p>
        </w:tc>
        <w:tc>
          <w:tcPr>
            <w:tcW w:w="7152" w:type="dxa"/>
            <w:gridSpan w:val="10"/>
            <w:vAlign w:val="center"/>
          </w:tcPr>
          <w:p w14:paraId="158C61D1">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戴橡胶耐油手套。</w:t>
            </w:r>
          </w:p>
        </w:tc>
      </w:tr>
      <w:tr w14:paraId="020E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vMerge w:val="continue"/>
            <w:vAlign w:val="center"/>
          </w:tcPr>
          <w:p w14:paraId="7BA7875C">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tc>
        <w:tc>
          <w:tcPr>
            <w:tcW w:w="1670" w:type="dxa"/>
            <w:vAlign w:val="center"/>
          </w:tcPr>
          <w:p w14:paraId="568C90F4">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其他防护</w:t>
            </w:r>
          </w:p>
        </w:tc>
        <w:tc>
          <w:tcPr>
            <w:tcW w:w="7152" w:type="dxa"/>
            <w:gridSpan w:val="10"/>
            <w:vAlign w:val="center"/>
          </w:tcPr>
          <w:p w14:paraId="527EBC1A">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工作现场严禁吸烟。避免长期反复接触。</w:t>
            </w:r>
          </w:p>
        </w:tc>
      </w:tr>
      <w:tr w14:paraId="63C3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579" w:type="dxa"/>
            <w:vAlign w:val="center"/>
          </w:tcPr>
          <w:p w14:paraId="28FBAF6F">
            <w:pPr>
              <w:bidi w:val="0"/>
              <w:jc w:val="cente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泄漏应急处理</w:t>
            </w:r>
          </w:p>
        </w:tc>
        <w:tc>
          <w:tcPr>
            <w:tcW w:w="8822" w:type="dxa"/>
            <w:gridSpan w:val="11"/>
            <w:vAlign w:val="center"/>
          </w:tcPr>
          <w:p w14:paraId="39CC4140">
            <w:pPr>
              <w:bidi w:val="0"/>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迅速撤离泄漏污染区人员至安全区，并进行隔离，严格限制出入。切断火源。建议应急处理人员戴自给正压式呼吸器，穿一般作业工作服。尽可能切断泄漏源。防止流入下水道、排洪沟等限制性空间。小量泄漏</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用活性炭或其它惰性材料吸收。大量泄漏</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构围堤或挖坑收容。用泵转移至槽车或专用收集器内，回收或运至废物处理场所处置。</w:t>
            </w:r>
          </w:p>
        </w:tc>
      </w:tr>
    </w:tbl>
    <w:p w14:paraId="0804A8CC">
      <w:pPr>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宋体" w:hAnsi="宋体" w:eastAsia="宋体" w:cs="宋体"/>
          <w:b/>
          <w:sz w:val="30"/>
          <w:szCs w:val="30"/>
          <w:lang w:val="en-US" w:eastAsia="zh-CN"/>
        </w:rPr>
      </w:pPr>
      <w:bookmarkStart w:id="228" w:name="_Toc6057"/>
      <w:bookmarkStart w:id="229" w:name="_Toc22208"/>
      <w:bookmarkStart w:id="230" w:name="_Toc24710"/>
      <w:bookmarkStart w:id="231" w:name="_Toc27830"/>
      <w:r>
        <w:rPr>
          <w:rFonts w:hint="eastAsia" w:ascii="宋体" w:hAnsi="宋体" w:eastAsia="宋体" w:cs="宋体"/>
          <w:b/>
          <w:sz w:val="30"/>
          <w:szCs w:val="30"/>
          <w:lang w:val="en-US" w:eastAsia="zh-CN"/>
        </w:rPr>
        <w:t>3.1.3物质的危险有害因素</w:t>
      </w:r>
      <w:bookmarkEnd w:id="228"/>
      <w:bookmarkEnd w:id="229"/>
      <w:bookmarkEnd w:id="230"/>
      <w:bookmarkEnd w:id="231"/>
    </w:p>
    <w:p w14:paraId="5CE9FB7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经过上述分析，汽油和柴油均属于易燃液体，且对人体健康有一定的危害。</w:t>
      </w:r>
    </w:p>
    <w:p w14:paraId="7BE6804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1、物质的火灾、爆炸危险性</w:t>
      </w:r>
    </w:p>
    <w:p w14:paraId="25FF1B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物质火灾危险性是根据被引燃的难易程度，按其闭杯闪点被分为甲、乙、丙三类。</w:t>
      </w:r>
    </w:p>
    <w:p w14:paraId="1936E9B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汽油：闪点小于-50℃,属于甲B类易燃液体，引燃温度250～530℃,</w:t>
      </w:r>
    </w:p>
    <w:p w14:paraId="559E7B5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爆炸极限（V％）在1.3～7.6％之间，易挥发，遇点火源极易导致燃烧爆炸。</w:t>
      </w:r>
    </w:p>
    <w:p w14:paraId="6FCF3E1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0#柴油：闪点不低于60℃,属于丙A类可燃液体，挥发性也较强，引燃温度为257℃,较易着火和爆炸。</w:t>
      </w:r>
    </w:p>
    <w:p w14:paraId="080C978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2、物质的毒性危害</w:t>
      </w:r>
    </w:p>
    <w:p w14:paraId="2FA59C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汽油为具有麻醉性的有毒物质，能引起中枢神经系统功能障碍，浓度高时会引起呼吸中枢麻痹。中毒表现为：高浓度油蒸气可引起中毒性脑病，出现中毒性精神病症状，汽油直接吸入呼吸道可引起吸入性肺炎。</w:t>
      </w:r>
    </w:p>
    <w:p w14:paraId="3CFFF36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柴油对皮肤黏膜有刺激作用。皮肤接触柴油可引起接触性皮炎、油性痤疮。吸入柴油雾滴可引起吸入性肺炎。</w:t>
      </w:r>
    </w:p>
    <w:p w14:paraId="696C44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lang w:val="en-US" w:eastAsia="zh-CN"/>
        </w:rPr>
      </w:pPr>
      <w:r>
        <w:rPr>
          <w:rFonts w:hint="eastAsia" w:asciiTheme="minorEastAsia" w:hAnsiTheme="minorEastAsia" w:eastAsiaTheme="minorEastAsia" w:cstheme="minorEastAsia"/>
          <w:color w:val="auto"/>
          <w:kern w:val="0"/>
          <w:sz w:val="28"/>
          <w:szCs w:val="28"/>
          <w:lang w:val="en-US" w:eastAsia="zh-CN"/>
        </w:rPr>
        <w:t>所以汽油和柴油的危险特性主要是具有火灾、爆炸和中毒。</w:t>
      </w:r>
    </w:p>
    <w:p w14:paraId="1792E7E8">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232" w:name="_Toc17744"/>
      <w:bookmarkStart w:id="233" w:name="_Toc9493"/>
      <w:bookmarkStart w:id="234" w:name="_Toc28298"/>
      <w:bookmarkStart w:id="235" w:name="_Toc26772"/>
      <w:r>
        <w:rPr>
          <w:rFonts w:hint="eastAsia" w:ascii="宋体" w:hAnsi="宋体" w:eastAsia="宋体" w:cs="宋体"/>
          <w:b/>
          <w:smallCaps/>
          <w:color w:val="auto"/>
          <w:kern w:val="0"/>
          <w:szCs w:val="20"/>
          <w:lang w:val="en-US" w:eastAsia="zh-CN"/>
        </w:rPr>
        <w:t>3.2站址及自然条件的危险性分析</w:t>
      </w:r>
      <w:bookmarkEnd w:id="232"/>
      <w:bookmarkEnd w:id="233"/>
      <w:bookmarkEnd w:id="234"/>
      <w:bookmarkEnd w:id="235"/>
    </w:p>
    <w:p w14:paraId="28A9AA6C">
      <w:pPr>
        <w:pStyle w:val="4"/>
        <w:keepNext/>
        <w:keepLines/>
        <w:pageBreakBefore w:val="0"/>
        <w:widowControl w:val="0"/>
        <w:kinsoku/>
        <w:wordWrap/>
        <w:overflowPunct/>
        <w:topLinePunct w:val="0"/>
        <w:autoSpaceDE/>
        <w:autoSpaceDN/>
        <w:bidi w:val="0"/>
        <w:adjustRightInd/>
        <w:snapToGrid/>
        <w:spacing w:before="0" w:after="0" w:afterAutospacing="0" w:line="600" w:lineRule="exact"/>
        <w:textAlignment w:val="auto"/>
        <w:rPr>
          <w:rFonts w:hint="eastAsia"/>
          <w:lang w:val="en-US" w:eastAsia="zh-CN"/>
        </w:rPr>
      </w:pPr>
      <w:bookmarkStart w:id="236" w:name="_Toc10867"/>
      <w:bookmarkStart w:id="237" w:name="_Toc23640"/>
      <w:bookmarkStart w:id="238" w:name="_Toc12866"/>
      <w:bookmarkStart w:id="239" w:name="_Toc25860"/>
      <w:r>
        <w:rPr>
          <w:rFonts w:hint="eastAsia" w:ascii="宋体" w:hAnsi="宋体" w:eastAsia="宋体" w:cs="宋体"/>
          <w:b/>
          <w:sz w:val="30"/>
          <w:szCs w:val="30"/>
          <w:lang w:val="en-US" w:eastAsia="zh-CN"/>
        </w:rPr>
        <w:t>3.2.1站址</w:t>
      </w:r>
      <w:bookmarkEnd w:id="236"/>
      <w:bookmarkEnd w:id="237"/>
      <w:bookmarkEnd w:id="238"/>
      <w:bookmarkEnd w:id="239"/>
    </w:p>
    <w:p w14:paraId="17D2FCA6">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snapToGrid w:val="0"/>
          <w:color w:val="000000"/>
          <w:kern w:val="0"/>
          <w:sz w:val="28"/>
          <w:szCs w:val="28"/>
        </w:rPr>
      </w:pPr>
      <w:r>
        <w:rPr>
          <w:rFonts w:hint="eastAsia" w:ascii="宋体" w:hAnsi="宋体"/>
          <w:snapToGrid w:val="0"/>
          <w:color w:val="000000"/>
          <w:kern w:val="0"/>
          <w:sz w:val="28"/>
          <w:szCs w:val="28"/>
        </w:rPr>
        <w:t>站址因素主要是指工程地质、地形地貌、水文、气象条件、周围环境、交通运输条件、自然灾害等方面的内容。站址选择不合理也是导致加油站发生事故的一个重要原因。</w:t>
      </w:r>
    </w:p>
    <w:p w14:paraId="3568A6E4">
      <w:pPr>
        <w:keepNext w:val="0"/>
        <w:keepLines w:val="0"/>
        <w:pageBreakBefore w:val="0"/>
        <w:widowControl w:val="0"/>
        <w:kinsoku/>
        <w:wordWrap/>
        <w:overflowPunct/>
        <w:topLinePunct w:val="0"/>
        <w:autoSpaceDE/>
        <w:autoSpaceDN/>
        <w:bidi w:val="0"/>
        <w:adjustRightInd/>
        <w:snapToGrid/>
        <w:spacing w:afterAutospacing="0" w:line="600" w:lineRule="exact"/>
        <w:ind w:firstLine="560" w:firstLineChars="200"/>
        <w:jc w:val="left"/>
        <w:textAlignment w:val="auto"/>
        <w:rPr>
          <w:rFonts w:hint="eastAsia" w:ascii="宋体" w:hAnsi="宋体"/>
          <w:snapToGrid w:val="0"/>
          <w:color w:val="000000"/>
          <w:kern w:val="0"/>
          <w:sz w:val="28"/>
          <w:szCs w:val="28"/>
        </w:rPr>
      </w:pPr>
      <w:r>
        <w:rPr>
          <w:rFonts w:hint="eastAsia" w:ascii="宋体" w:hAnsi="宋体"/>
          <w:snapToGrid w:val="0"/>
          <w:color w:val="000000"/>
          <w:kern w:val="0"/>
          <w:sz w:val="28"/>
          <w:szCs w:val="28"/>
        </w:rPr>
        <w:t>本项目可能引发事故的选址方面的因素主要有周边环境以及项目所在地自然条件（主要是工程地质、降雨、雷电、气温等）。选址主要存在的危险、有害因素有：地震、坍塌、滑坡、泥石流、静电雷电危害、高温、大雾等。</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引发事故的原因主要有：</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1.工程地质不适宜项目建设或施工质量差、建构筑物抗震等级不足等引起建筑物坍塌事故。</w:t>
      </w:r>
    </w:p>
    <w:p w14:paraId="6006FC91">
      <w:pPr>
        <w:keepNext w:val="0"/>
        <w:keepLines w:val="0"/>
        <w:pageBreakBefore w:val="0"/>
        <w:widowControl w:val="0"/>
        <w:kinsoku/>
        <w:wordWrap/>
        <w:overflowPunct/>
        <w:topLinePunct w:val="0"/>
        <w:autoSpaceDE/>
        <w:autoSpaceDN/>
        <w:bidi w:val="0"/>
        <w:adjustRightInd/>
        <w:snapToGrid/>
        <w:spacing w:afterAutospacing="0" w:line="600" w:lineRule="exact"/>
        <w:ind w:firstLine="560" w:firstLineChars="200"/>
        <w:jc w:val="both"/>
        <w:textAlignment w:val="auto"/>
        <w:rPr>
          <w:rFonts w:hint="eastAsia" w:ascii="宋体" w:hAnsi="宋体"/>
          <w:snapToGrid w:val="0"/>
          <w:color w:val="000000"/>
          <w:kern w:val="0"/>
          <w:sz w:val="28"/>
          <w:szCs w:val="28"/>
        </w:rPr>
      </w:pPr>
      <w:r>
        <w:rPr>
          <w:rFonts w:hint="eastAsia" w:ascii="宋体" w:hAnsi="宋体"/>
          <w:snapToGrid w:val="0"/>
          <w:color w:val="000000"/>
          <w:kern w:val="0"/>
          <w:sz w:val="28"/>
          <w:szCs w:val="28"/>
        </w:rPr>
        <w:t>2.由于建筑、生产设备、设施、储罐等建构筑物、设备设施载荷较重，长期运行后出现地基下沉，导致建构筑物或设备及与其相连的部件发生变形，引发物料泄漏，进而发生二次事故。</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3.项目所在地发生地震，可导致设备、设施及建构筑物突发性损坏，在设备、设施及建构筑物抗震等级不足时，破坏性更大。</w:t>
      </w:r>
    </w:p>
    <w:p w14:paraId="79A75ADD">
      <w:pPr>
        <w:keepNext w:val="0"/>
        <w:keepLines w:val="0"/>
        <w:pageBreakBefore w:val="0"/>
        <w:widowControl w:val="0"/>
        <w:kinsoku/>
        <w:wordWrap/>
        <w:overflowPunct/>
        <w:topLinePunct w:val="0"/>
        <w:autoSpaceDE/>
        <w:autoSpaceDN/>
        <w:bidi w:val="0"/>
        <w:adjustRightInd/>
        <w:snapToGrid/>
        <w:spacing w:afterAutospacing="0" w:line="600" w:lineRule="exact"/>
        <w:ind w:firstLine="560" w:firstLineChars="200"/>
        <w:jc w:val="both"/>
        <w:textAlignment w:val="auto"/>
        <w:rPr>
          <w:rFonts w:hint="eastAsia" w:ascii="宋体" w:hAnsi="宋体"/>
          <w:snapToGrid w:val="0"/>
          <w:color w:val="000000"/>
          <w:kern w:val="0"/>
          <w:sz w:val="28"/>
          <w:szCs w:val="28"/>
        </w:rPr>
      </w:pPr>
      <w:r>
        <w:rPr>
          <w:rFonts w:hint="eastAsia" w:ascii="宋体" w:hAnsi="宋体"/>
          <w:snapToGrid w:val="0"/>
          <w:color w:val="000000"/>
          <w:kern w:val="0"/>
          <w:sz w:val="28"/>
          <w:szCs w:val="28"/>
        </w:rPr>
        <w:t>4.降雨多时容易破坏地基和用电设备，造成地基下沉、电器短路事故。</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5.雷暴天气开展生产活动，造成雷击起火。</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6.防雷防静电装置未定期进行检测，致接地电阻超标，遇雷暴天气，易发生雷电危害事故。</w:t>
      </w:r>
      <w:r>
        <w:rPr>
          <w:rFonts w:hint="eastAsia" w:ascii="宋体" w:hAnsi="宋体"/>
          <w:snapToGrid w:val="0"/>
          <w:color w:val="000000"/>
          <w:kern w:val="0"/>
          <w:sz w:val="28"/>
          <w:szCs w:val="28"/>
        </w:rPr>
        <w:cr/>
      </w:r>
      <w:r>
        <w:rPr>
          <w:rFonts w:hint="eastAsia" w:ascii="宋体" w:hAnsi="宋体"/>
          <w:snapToGrid w:val="0"/>
          <w:color w:val="000000"/>
          <w:kern w:val="0"/>
          <w:sz w:val="28"/>
          <w:szCs w:val="28"/>
        </w:rPr>
        <w:t xml:space="preserve">    7.夏季高温天气，导致人员中暑。</w:t>
      </w:r>
    </w:p>
    <w:p w14:paraId="7B29C44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根据现场踏勘，站址及周边地表未见塌陷、开裂等不良地质情况；未见挡墙、围墙开裂、塌陷情况。加油站已运行多年，站址及周边地表未见地面</w:t>
      </w:r>
    </w:p>
    <w:p w14:paraId="0EC0C223">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塌陷、见开裂等不良情况，表明站址场地稳定。</w:t>
      </w:r>
    </w:p>
    <w:p w14:paraId="3E7A211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根据《建筑抗震设计规范》（GB</w:t>
      </w:r>
      <w:r>
        <w:rPr>
          <w:rFonts w:hint="eastAsia" w:ascii="宋体" w:hAnsi="宋体" w:eastAsia="宋体" w:cs="宋体"/>
          <w:color w:val="auto"/>
          <w:kern w:val="0"/>
          <w:sz w:val="28"/>
          <w:szCs w:val="28"/>
          <w:lang w:val="en-US" w:eastAsia="zh-CN"/>
        </w:rPr>
        <w:t xml:space="preserve">/T </w:t>
      </w:r>
      <w:r>
        <w:rPr>
          <w:rFonts w:hint="default" w:ascii="宋体" w:hAnsi="宋体" w:eastAsia="宋体" w:cs="宋体"/>
          <w:color w:val="auto"/>
          <w:kern w:val="0"/>
          <w:sz w:val="28"/>
          <w:szCs w:val="28"/>
          <w:lang w:val="en-US" w:eastAsia="zh-CN"/>
        </w:rPr>
        <w:t>50011-2010）及《中国地震动参数区划图》（GB18306-2001）的规定：</w:t>
      </w:r>
      <w:r>
        <w:rPr>
          <w:rFonts w:hint="eastAsia" w:ascii="宋体" w:hAnsi="宋体" w:eastAsia="宋体" w:cs="宋体"/>
          <w:color w:val="auto"/>
          <w:kern w:val="0"/>
          <w:sz w:val="28"/>
          <w:szCs w:val="28"/>
          <w:lang w:val="en-US" w:eastAsia="zh-CN"/>
        </w:rPr>
        <w:t>兰坪县</w:t>
      </w:r>
      <w:r>
        <w:rPr>
          <w:rFonts w:hint="default" w:ascii="宋体" w:hAnsi="宋体" w:eastAsia="宋体" w:cs="宋体"/>
          <w:color w:val="auto"/>
          <w:kern w:val="0"/>
          <w:sz w:val="28"/>
          <w:szCs w:val="28"/>
          <w:lang w:val="en-US" w:eastAsia="zh-CN"/>
        </w:rPr>
        <w:t>抗震设防烈度为</w:t>
      </w:r>
      <w:r>
        <w:rPr>
          <w:rFonts w:hint="eastAsia" w:ascii="宋体" w:hAnsi="宋体" w:eastAsia="宋体" w:cs="宋体"/>
          <w:color w:val="auto"/>
          <w:kern w:val="0"/>
          <w:sz w:val="28"/>
          <w:szCs w:val="28"/>
          <w:lang w:val="en-US" w:eastAsia="zh-CN"/>
        </w:rPr>
        <w:t>7</w:t>
      </w:r>
      <w:r>
        <w:rPr>
          <w:rFonts w:hint="default" w:ascii="宋体" w:hAnsi="宋体" w:eastAsia="宋体" w:cs="宋体"/>
          <w:color w:val="auto"/>
          <w:kern w:val="0"/>
          <w:sz w:val="28"/>
          <w:szCs w:val="28"/>
          <w:lang w:val="en-US" w:eastAsia="zh-CN"/>
        </w:rPr>
        <w:t>度，设计基本地震加速度值为</w:t>
      </w:r>
      <w:r>
        <w:rPr>
          <w:rFonts w:hint="eastAsia" w:ascii="宋体" w:hAnsi="宋体" w:eastAsia="宋体" w:cs="宋体"/>
          <w:color w:val="auto"/>
          <w:kern w:val="0"/>
          <w:sz w:val="28"/>
          <w:szCs w:val="28"/>
          <w:lang w:val="en-US" w:eastAsia="zh-CN"/>
        </w:rPr>
        <w:t>0.15</w:t>
      </w:r>
      <w:r>
        <w:rPr>
          <w:rFonts w:hint="default" w:ascii="宋体" w:hAnsi="宋体" w:eastAsia="宋体" w:cs="宋体"/>
          <w:color w:val="auto"/>
          <w:kern w:val="0"/>
          <w:sz w:val="28"/>
          <w:szCs w:val="28"/>
          <w:lang w:val="en-US" w:eastAsia="zh-CN"/>
        </w:rPr>
        <w:t>g，设计地震分组属于第</w:t>
      </w:r>
      <w:r>
        <w:rPr>
          <w:rFonts w:hint="eastAsia" w:ascii="宋体" w:hAnsi="宋体" w:eastAsia="宋体" w:cs="宋体"/>
          <w:color w:val="auto"/>
          <w:kern w:val="0"/>
          <w:sz w:val="28"/>
          <w:szCs w:val="28"/>
          <w:lang w:val="en-US" w:eastAsia="zh-CN"/>
        </w:rPr>
        <w:t>三</w:t>
      </w:r>
      <w:r>
        <w:rPr>
          <w:rFonts w:hint="default" w:ascii="宋体" w:hAnsi="宋体" w:eastAsia="宋体" w:cs="宋体"/>
          <w:color w:val="auto"/>
          <w:kern w:val="0"/>
          <w:sz w:val="28"/>
          <w:szCs w:val="28"/>
          <w:lang w:val="en-US" w:eastAsia="zh-CN"/>
        </w:rPr>
        <w:t>组。属于有震区，若发生地震，虽破坏强度不大，但可能造成罐池、站址坍塌，站内站房、罩棚等坍塌危害。</w:t>
      </w:r>
    </w:p>
    <w:p w14:paraId="4ECAF2C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综上分析，该加油站</w:t>
      </w:r>
      <w:r>
        <w:rPr>
          <w:rFonts w:hint="default" w:ascii="宋体" w:hAnsi="宋体" w:eastAsia="宋体" w:cs="宋体"/>
          <w:b/>
          <w:bCs/>
          <w:color w:val="auto"/>
          <w:kern w:val="0"/>
          <w:sz w:val="28"/>
          <w:szCs w:val="28"/>
          <w:lang w:val="en-US" w:eastAsia="zh-CN"/>
        </w:rPr>
        <w:t>站址方面存在的危险有害因素是坍塌和地震危害。</w:t>
      </w:r>
    </w:p>
    <w:p w14:paraId="464986B1">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outlineLvl w:val="2"/>
        <w:rPr>
          <w:rStyle w:val="40"/>
          <w:rFonts w:hint="eastAsia" w:ascii="宋体" w:hAnsi="宋体" w:eastAsia="宋体" w:cs="宋体"/>
          <w:color w:val="000000" w:themeColor="text1"/>
          <w:shd w:val="clear" w:color="auto" w:fill="auto"/>
          <w:lang w:val="en-US" w:eastAsia="zh-CN"/>
          <w14:textFill>
            <w14:solidFill>
              <w14:schemeClr w14:val="tx1"/>
            </w14:solidFill>
          </w14:textFill>
        </w:rPr>
      </w:pPr>
      <w:bookmarkStart w:id="240" w:name="_Toc14689"/>
      <w:bookmarkStart w:id="241" w:name="_Toc14963"/>
      <w:bookmarkStart w:id="242" w:name="_Toc19103"/>
      <w:r>
        <w:rPr>
          <w:rStyle w:val="40"/>
          <w:rFonts w:hint="eastAsia" w:ascii="宋体" w:hAnsi="宋体" w:eastAsia="宋体" w:cs="宋体"/>
          <w:color w:val="000000" w:themeColor="text1"/>
          <w:shd w:val="clear" w:color="auto" w:fill="auto"/>
          <w:lang w:val="en-US" w:eastAsia="zh-CN"/>
          <w14:textFill>
            <w14:solidFill>
              <w14:schemeClr w14:val="tx1"/>
            </w14:solidFill>
          </w14:textFill>
        </w:rPr>
        <w:t>3.2.2周边环境</w:t>
      </w:r>
      <w:bookmarkEnd w:id="240"/>
      <w:bookmarkEnd w:id="241"/>
      <w:bookmarkEnd w:id="242"/>
    </w:p>
    <w:p w14:paraId="14425502">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b/>
          <w:sz w:val="28"/>
          <w:szCs w:val="28"/>
          <w:lang w:val="en-US" w:eastAsia="zh-CN"/>
        </w:rPr>
      </w:pPr>
      <w:r>
        <w:rPr>
          <w:rFonts w:hint="eastAsia" w:ascii="宋体" w:hAnsi="宋体" w:eastAsia="宋体" w:cs="宋体"/>
          <w:i w:val="0"/>
          <w:iCs w:val="0"/>
          <w:caps w:val="0"/>
          <w:spacing w:val="0"/>
          <w:sz w:val="28"/>
          <w:szCs w:val="28"/>
          <w:shd w:val="clear" w:fill="FFFFFF"/>
        </w:rPr>
        <w:t>加油站坐东向西布置，西面为剑兰公路，剑兰公路西面为商业用房（饭馆）；北面为民房，东面为养老院，南面为村道，村道南面为商业用房（饭馆）。加油站的北面、西面、南面均有架空电力线（杆高 11m）从站外穿过。加油站的东南角有个室外变压器（站外使用）。加油站作业区北侧布置辅助服务区（自助洗车装置），加油站作业区与辅助服务区（自助洗车装置）之间设置了明显的界限标识。</w:t>
      </w:r>
    </w:p>
    <w:p w14:paraId="040D638E">
      <w:pPr>
        <w:bidi w:val="0"/>
        <w:rPr>
          <w:rFonts w:hint="eastAsia" w:ascii="Times New Roman" w:hAnsi="Times New Roman" w:eastAsia="宋体" w:cs="Times New Roman"/>
          <w:kern w:val="2"/>
          <w:sz w:val="21"/>
          <w:szCs w:val="24"/>
          <w:lang w:val="en-US" w:eastAsia="zh-CN" w:bidi="ar-SA"/>
        </w:rPr>
      </w:pPr>
    </w:p>
    <w:p w14:paraId="4B180B7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（1）若公路上的车辆行驶不慎，可能会对加油站构成车辆伤害；若出</w:t>
      </w:r>
    </w:p>
    <w:p w14:paraId="620BCB49">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站车辆不慎，也可能与公路上的车辆、行人造成车辆伤害。</w:t>
      </w:r>
    </w:p>
    <w:p w14:paraId="53F411E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w:t>
      </w:r>
      <w:r>
        <w:rPr>
          <w:rFonts w:hint="eastAsia" w:ascii="宋体" w:hAnsi="宋体" w:cs="宋体"/>
          <w:color w:val="auto"/>
          <w:kern w:val="0"/>
          <w:sz w:val="28"/>
          <w:szCs w:val="28"/>
          <w:lang w:val="en-US" w:eastAsia="zh-CN"/>
        </w:rPr>
        <w:t>2</w:t>
      </w:r>
      <w:r>
        <w:rPr>
          <w:rFonts w:hint="default" w:ascii="宋体" w:hAnsi="宋体" w:eastAsia="宋体" w:cs="宋体"/>
          <w:color w:val="auto"/>
          <w:kern w:val="0"/>
          <w:sz w:val="28"/>
          <w:szCs w:val="28"/>
          <w:lang w:val="en-US" w:eastAsia="zh-CN"/>
        </w:rPr>
        <w:t>）周边民房距离加油区、油罐区安全距离满足要求，应能采取安全控制措施控制事态，彼此不会构成大的危害。</w:t>
      </w:r>
    </w:p>
    <w:p w14:paraId="3FC4890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color w:val="auto"/>
          <w:kern w:val="0"/>
          <w:sz w:val="28"/>
          <w:szCs w:val="28"/>
          <w:lang w:val="en-US" w:eastAsia="zh-CN"/>
        </w:rPr>
        <w:t>综上分析，该加油站</w:t>
      </w:r>
      <w:r>
        <w:rPr>
          <w:rFonts w:hint="default" w:ascii="宋体" w:hAnsi="宋体" w:eastAsia="宋体" w:cs="宋体"/>
          <w:b/>
          <w:bCs/>
          <w:color w:val="auto"/>
          <w:kern w:val="0"/>
          <w:sz w:val="28"/>
          <w:szCs w:val="28"/>
          <w:lang w:val="en-US" w:eastAsia="zh-CN"/>
        </w:rPr>
        <w:t>周边环境的主要危险有害因素是车辆伤害。</w:t>
      </w:r>
    </w:p>
    <w:p w14:paraId="69E522B5">
      <w:pPr>
        <w:keepNext w:val="0"/>
        <w:keepLines w:val="0"/>
        <w:pageBreakBefore w:val="0"/>
        <w:widowControl w:val="0"/>
        <w:tabs>
          <w:tab w:val="left" w:pos="756"/>
        </w:tabs>
        <w:kinsoku/>
        <w:wordWrap/>
        <w:overflowPunct/>
        <w:topLinePunct w:val="0"/>
        <w:autoSpaceDE/>
        <w:autoSpaceDN/>
        <w:bidi w:val="0"/>
        <w:adjustRightInd/>
        <w:snapToGrid/>
        <w:spacing w:line="600" w:lineRule="exact"/>
        <w:jc w:val="left"/>
        <w:textAlignment w:val="auto"/>
        <w:outlineLvl w:val="2"/>
        <w:rPr>
          <w:rFonts w:hint="eastAsia" w:ascii="宋体" w:hAnsi="宋体" w:eastAsia="宋体" w:cs="宋体"/>
          <w:b/>
          <w:sz w:val="30"/>
          <w:szCs w:val="30"/>
          <w:lang w:val="en-US" w:eastAsia="zh-CN"/>
        </w:rPr>
      </w:pPr>
      <w:bookmarkStart w:id="243" w:name="_Toc30939"/>
      <w:bookmarkStart w:id="244" w:name="_Toc5768"/>
      <w:bookmarkStart w:id="245" w:name="_Toc20957"/>
      <w:bookmarkStart w:id="246" w:name="_Toc4236"/>
      <w:r>
        <w:rPr>
          <w:rFonts w:hint="eastAsia" w:ascii="宋体" w:hAnsi="宋体" w:eastAsia="宋体" w:cs="宋体"/>
          <w:b/>
          <w:sz w:val="30"/>
          <w:szCs w:val="30"/>
          <w:lang w:val="en-US" w:eastAsia="zh-CN"/>
        </w:rPr>
        <w:t>3.2.3气候条件及水文</w:t>
      </w:r>
      <w:bookmarkEnd w:id="243"/>
      <w:bookmarkEnd w:id="244"/>
      <w:bookmarkEnd w:id="245"/>
      <w:bookmarkEnd w:id="246"/>
    </w:p>
    <w:p w14:paraId="15CB79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color w:val="auto"/>
          <w:kern w:val="0"/>
          <w:sz w:val="28"/>
          <w:szCs w:val="28"/>
          <w:lang w:val="en-US" w:eastAsia="zh-CN"/>
        </w:rPr>
      </w:pPr>
      <w:r>
        <w:rPr>
          <w:rFonts w:hint="default" w:ascii="宋体" w:hAnsi="宋体" w:eastAsia="宋体" w:cs="宋体"/>
          <w:color w:val="auto"/>
          <w:kern w:val="0"/>
          <w:sz w:val="28"/>
          <w:szCs w:val="28"/>
          <w:lang w:val="en-US" w:eastAsia="zh-CN"/>
        </w:rPr>
        <w:t>气候条件对加油站的影响主要是大风、雷暴、暴雨和高温天气。</w:t>
      </w:r>
    </w:p>
    <w:p w14:paraId="628B2CF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（1）大风天气可能对加油机罩棚、屋顶设施等造成影响，甚至损坏。项目区域大风气候较少出现，加油站运行以来，罩棚等建筑物未受到过大风气候的影响，但大风天气应注意防范。</w:t>
      </w:r>
    </w:p>
    <w:p w14:paraId="5C6C504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当出现雷暴天气对储油罐及卸油作业影响较大，易导致设备遭受雷击起火爆炸事故。加油站设备、建筑物等经防雷检测，检测结论合格。雷暴天气对加油站影响不大，但应对防雷设施进行经常的检查和维护，并定期进行检测。</w:t>
      </w:r>
    </w:p>
    <w:p w14:paraId="57CC4A1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（3）站址处于坡地地段，地面雨水的排放顺畅，强降雨不会导致加油站加油区、油罐区积水；但强降雨还可能使油罐回填土方塌陷。应加强观察。</w:t>
      </w:r>
    </w:p>
    <w:p w14:paraId="769079D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4）加油站所在地兰坪县气候属于低纬山地季风气候，因地形复杂，海拔高差大，形成典型的垂直分布的立体气候带。多年平均气温13.7℃(河谷16.2℃)，7月份气温最高，平均气温达25.5℃，极端最高气温为31.7℃;1月份气温最低，平均气温3.4℃，极端最低气温零下12℃，气温年较差14.5℃。夏季可能出现高温天气，导致中暑危害。因此夏季高温天气，应注意防暑工作。同时，虽然夏季气温未达到汽油最低沸点温度（40℃),但蒸发量会增大，应加强加油区、油罐区的防火工作。在冬季，可能出现冰冻、暴雪天气，因此，在冬季冰冻天气，应做好防滑、防冻工作。</w:t>
      </w:r>
    </w:p>
    <w:p w14:paraId="6E06EA6F">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水文条件主要是地表水、地下水对加油站的影响。该加油站周边无江、湖，不会对加油站造成危害。</w:t>
      </w:r>
    </w:p>
    <w:p w14:paraId="6A936E75">
      <w:pPr>
        <w:keepNext w:val="0"/>
        <w:keepLines w:val="0"/>
        <w:pageBreakBefore w:val="0"/>
        <w:widowControl w:val="0"/>
        <w:tabs>
          <w:tab w:val="left" w:pos="756"/>
        </w:tabs>
        <w:kinsoku/>
        <w:wordWrap/>
        <w:overflowPunct/>
        <w:topLinePunct w:val="0"/>
        <w:autoSpaceDE/>
        <w:autoSpaceDN/>
        <w:bidi w:val="0"/>
        <w:adjustRightInd/>
        <w:snapToGrid/>
        <w:spacing w:line="600" w:lineRule="exact"/>
        <w:ind w:firstLine="560" w:firstLineChars="200"/>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color w:val="auto"/>
          <w:kern w:val="0"/>
          <w:sz w:val="28"/>
          <w:szCs w:val="28"/>
          <w:lang w:val="en-US" w:eastAsia="zh-CN"/>
        </w:rPr>
        <w:t>综上分析，该加油站</w:t>
      </w:r>
      <w:r>
        <w:rPr>
          <w:rFonts w:hint="default" w:ascii="宋体" w:hAnsi="宋体" w:eastAsia="宋体" w:cs="宋体"/>
          <w:b/>
          <w:bCs/>
          <w:color w:val="auto"/>
          <w:kern w:val="0"/>
          <w:sz w:val="28"/>
          <w:szCs w:val="28"/>
          <w:lang w:val="en-US" w:eastAsia="zh-CN"/>
        </w:rPr>
        <w:t>气候条件及水文的影响主要雷电</w:t>
      </w:r>
      <w:r>
        <w:rPr>
          <w:rFonts w:hint="eastAsia" w:ascii="宋体" w:hAnsi="宋体" w:eastAsia="宋体" w:cs="宋体"/>
          <w:b/>
          <w:bCs/>
          <w:color w:val="auto"/>
          <w:kern w:val="0"/>
          <w:sz w:val="28"/>
          <w:szCs w:val="28"/>
          <w:lang w:val="en-US" w:eastAsia="zh-CN"/>
        </w:rPr>
        <w:t>、暴雪</w:t>
      </w:r>
      <w:r>
        <w:rPr>
          <w:rFonts w:hint="default" w:ascii="宋体" w:hAnsi="宋体" w:eastAsia="宋体" w:cs="宋体"/>
          <w:b/>
          <w:bCs/>
          <w:color w:val="auto"/>
          <w:kern w:val="0"/>
          <w:sz w:val="28"/>
          <w:szCs w:val="28"/>
          <w:lang w:val="en-US" w:eastAsia="zh-CN"/>
        </w:rPr>
        <w:t>和高温天气，可能导致雷电危害、人员中暑、潜油泵气阻、罐区塌陷</w:t>
      </w:r>
      <w:r>
        <w:rPr>
          <w:rFonts w:hint="eastAsia" w:ascii="宋体" w:hAnsi="宋体" w:eastAsia="宋体" w:cs="宋体"/>
          <w:b/>
          <w:bCs/>
          <w:color w:val="auto"/>
          <w:kern w:val="0"/>
          <w:sz w:val="28"/>
          <w:szCs w:val="28"/>
          <w:lang w:val="en-US" w:eastAsia="zh-CN"/>
        </w:rPr>
        <w:t>、罩棚坍塌</w:t>
      </w:r>
      <w:r>
        <w:rPr>
          <w:rFonts w:hint="default" w:ascii="宋体" w:hAnsi="宋体" w:eastAsia="宋体" w:cs="宋体"/>
          <w:b/>
          <w:bCs/>
          <w:color w:val="auto"/>
          <w:kern w:val="0"/>
          <w:sz w:val="28"/>
          <w:szCs w:val="28"/>
          <w:lang w:val="en-US" w:eastAsia="zh-CN"/>
        </w:rPr>
        <w:t>等危害。</w:t>
      </w:r>
    </w:p>
    <w:p w14:paraId="1ABC753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247" w:name="_Toc20711"/>
      <w:bookmarkStart w:id="248" w:name="_Toc30525"/>
      <w:bookmarkStart w:id="249" w:name="_Toc1819"/>
      <w:bookmarkStart w:id="250" w:name="_Toc26025"/>
      <w:r>
        <w:rPr>
          <w:rFonts w:hint="eastAsia" w:ascii="宋体" w:hAnsi="宋体" w:eastAsia="宋体" w:cs="宋体"/>
          <w:b/>
          <w:sz w:val="30"/>
          <w:szCs w:val="30"/>
          <w:lang w:val="en-US" w:eastAsia="zh-CN"/>
        </w:rPr>
        <w:t>3.2.4小结</w:t>
      </w:r>
      <w:bookmarkEnd w:id="247"/>
      <w:bookmarkEnd w:id="248"/>
      <w:bookmarkEnd w:id="249"/>
      <w:bookmarkEnd w:id="250"/>
    </w:p>
    <w:p w14:paraId="5AC585E9">
      <w:pPr>
        <w:keepNext w:val="0"/>
        <w:keepLines w:val="0"/>
        <w:pageBreakBefore w:val="0"/>
        <w:widowControl w:val="0"/>
        <w:tabs>
          <w:tab w:val="left" w:pos="756"/>
        </w:tabs>
        <w:kinsoku/>
        <w:wordWrap/>
        <w:overflowPunct/>
        <w:topLinePunct w:val="0"/>
        <w:autoSpaceDE/>
        <w:autoSpaceDN/>
        <w:bidi w:val="0"/>
        <w:adjustRightInd/>
        <w:snapToGrid/>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综上分析，该加油站站址方面存在的危险有害因素是站址坍塌和地震危害；周边环境的主要危险有害因素是车辆伤害；气候条件的主要危险有害因素是雷电和高温天气，可能会</w:t>
      </w:r>
      <w:r>
        <w:rPr>
          <w:rFonts w:hint="eastAsia" w:ascii="宋体" w:hAnsi="宋体" w:eastAsia="宋体" w:cs="宋体"/>
          <w:b w:val="0"/>
          <w:bCs w:val="0"/>
          <w:color w:val="auto"/>
          <w:kern w:val="0"/>
          <w:sz w:val="28"/>
          <w:szCs w:val="28"/>
          <w:lang w:val="en-US" w:eastAsia="zh-CN"/>
        </w:rPr>
        <w:t>导致</w:t>
      </w:r>
      <w:r>
        <w:rPr>
          <w:rFonts w:hint="default" w:ascii="宋体" w:hAnsi="宋体" w:eastAsia="宋体" w:cs="宋体"/>
          <w:b w:val="0"/>
          <w:bCs w:val="0"/>
          <w:color w:val="auto"/>
          <w:kern w:val="0"/>
          <w:sz w:val="28"/>
          <w:szCs w:val="28"/>
          <w:lang w:val="en-US" w:eastAsia="zh-CN"/>
        </w:rPr>
        <w:t>雷电危害、人员中暑、罐区塌陷</w:t>
      </w:r>
      <w:r>
        <w:rPr>
          <w:rFonts w:hint="eastAsia" w:ascii="宋体" w:hAnsi="宋体" w:eastAsia="宋体" w:cs="宋体"/>
          <w:b w:val="0"/>
          <w:bCs w:val="0"/>
          <w:color w:val="auto"/>
          <w:kern w:val="0"/>
          <w:sz w:val="28"/>
          <w:szCs w:val="28"/>
          <w:lang w:val="en-US" w:eastAsia="zh-CN"/>
        </w:rPr>
        <w:t>、罩棚坍塌</w:t>
      </w:r>
      <w:r>
        <w:rPr>
          <w:rFonts w:hint="default" w:ascii="宋体" w:hAnsi="宋体" w:eastAsia="宋体" w:cs="宋体"/>
          <w:b w:val="0"/>
          <w:bCs w:val="0"/>
          <w:color w:val="auto"/>
          <w:kern w:val="0"/>
          <w:sz w:val="28"/>
          <w:szCs w:val="28"/>
          <w:lang w:val="en-US" w:eastAsia="zh-CN"/>
        </w:rPr>
        <w:t>等危害等。</w:t>
      </w:r>
    </w:p>
    <w:p w14:paraId="00130B52">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lang w:val="en-US" w:eastAsia="zh-CN"/>
        </w:rPr>
      </w:pPr>
      <w:bookmarkStart w:id="251" w:name="_Toc7868"/>
      <w:bookmarkStart w:id="252" w:name="_Toc27319"/>
      <w:bookmarkStart w:id="253" w:name="_Toc17678"/>
      <w:bookmarkStart w:id="254" w:name="_Toc13785"/>
      <w:r>
        <w:rPr>
          <w:rFonts w:hint="eastAsia" w:ascii="宋体" w:hAnsi="宋体" w:eastAsia="宋体" w:cs="宋体"/>
          <w:b/>
          <w:smallCaps/>
          <w:color w:val="auto"/>
          <w:kern w:val="0"/>
          <w:szCs w:val="20"/>
          <w:lang w:val="en-US" w:eastAsia="zh-CN"/>
        </w:rPr>
        <w:t>3.3总平面布置的危险性分析</w:t>
      </w:r>
      <w:bookmarkEnd w:id="251"/>
      <w:bookmarkEnd w:id="252"/>
      <w:bookmarkEnd w:id="253"/>
      <w:bookmarkEnd w:id="254"/>
    </w:p>
    <w:p w14:paraId="30FAB22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加油站总平面布置的危险有害因素主要考虑的是建构筑物的防火距离、功能分区和道路设置等方面，如功能分区不合理、防火距离不足、道路宽度不够、出入口设置不合理可能会引起加油站火灾、爆炸和车辆伤害等事故。</w:t>
      </w:r>
    </w:p>
    <w:p w14:paraId="1F58E1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事故原因和事故类型分析如下：</w:t>
      </w:r>
    </w:p>
    <w:p w14:paraId="574CA95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outlineLvl w:val="9"/>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（1）若加油机与站房的距离不足，可能发生车辆伤害或火灾危害。该</w:t>
      </w:r>
    </w:p>
    <w:p w14:paraId="37FE3E62">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加油站加油机与站房之间的距离满足规范要求。</w:t>
      </w:r>
    </w:p>
    <w:p w14:paraId="734400A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若卸油口与站房的距离不足，卸油时，卸油车辆对站房造成车辆伤害，甚至发生火灾等危害。该加油站卸油口与站房之间的距离满足规范要求。但卸油时，油罐车辆应与站房等保持防火距离，防止意外发生。</w:t>
      </w:r>
    </w:p>
    <w:p w14:paraId="513F4DB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（3）油罐与站房的距离不足，油罐发生火灾或者爆炸时，对站房等造成破坏。该加油站汽油罐与站房的满足规范要求。</w:t>
      </w:r>
    </w:p>
    <w:p w14:paraId="4BFC25C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（4）配电房与加油机、油罐、通气管的距离不足时，配电房可能会产生火星，导致加油机、油罐、通气管等引起火灾事故。该站配电房设置在</w:t>
      </w:r>
      <w:r>
        <w:rPr>
          <w:rFonts w:hint="eastAsia" w:ascii="宋体" w:hAnsi="宋体" w:eastAsia="宋体" w:cs="宋体"/>
          <w:b w:val="0"/>
          <w:bCs w:val="0"/>
          <w:color w:val="auto"/>
          <w:kern w:val="0"/>
          <w:sz w:val="28"/>
          <w:szCs w:val="28"/>
          <w:lang w:val="en-US" w:eastAsia="zh-CN"/>
        </w:rPr>
        <w:t>附</w:t>
      </w:r>
    </w:p>
    <w:p w14:paraId="03F6BD02">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房</w:t>
      </w:r>
      <w:r>
        <w:rPr>
          <w:rFonts w:hint="eastAsia" w:ascii="宋体" w:hAnsi="宋体" w:eastAsia="宋体" w:cs="宋体"/>
          <w:b w:val="0"/>
          <w:bCs w:val="0"/>
          <w:color w:val="auto"/>
          <w:kern w:val="0"/>
          <w:sz w:val="28"/>
          <w:szCs w:val="28"/>
          <w:lang w:val="en-US" w:eastAsia="zh-CN"/>
        </w:rPr>
        <w:t>内</w:t>
      </w:r>
      <w:r>
        <w:rPr>
          <w:rFonts w:hint="default" w:ascii="宋体" w:hAnsi="宋体" w:eastAsia="宋体" w:cs="宋体"/>
          <w:b w:val="0"/>
          <w:bCs w:val="0"/>
          <w:color w:val="auto"/>
          <w:kern w:val="0"/>
          <w:sz w:val="28"/>
          <w:szCs w:val="28"/>
          <w:lang w:val="en-US" w:eastAsia="zh-CN"/>
        </w:rPr>
        <w:t>，一般不会构成大的危害。</w:t>
      </w:r>
    </w:p>
    <w:p w14:paraId="1341146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（5）加油区车道宽度不足，可能导致车辆伤害，对站房、加油机、加油岛罩棚立柱等造成损坏。该加油站设置了限速标识。符合规范要求。但也应对站内车辆进行合理的引导。</w:t>
      </w:r>
    </w:p>
    <w:p w14:paraId="7107441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（6）加油站进口、出口转弯半径不足时，可能对加油站建构筑物造成车辆伤害。</w:t>
      </w:r>
    </w:p>
    <w:p w14:paraId="3A1F420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对照上述分析，加油站</w:t>
      </w:r>
      <w:r>
        <w:rPr>
          <w:rFonts w:hint="default" w:ascii="宋体" w:hAnsi="宋体" w:eastAsia="宋体" w:cs="宋体"/>
          <w:b/>
          <w:bCs/>
          <w:color w:val="auto"/>
          <w:kern w:val="0"/>
          <w:sz w:val="28"/>
          <w:szCs w:val="28"/>
          <w:lang w:val="en-US" w:eastAsia="zh-CN"/>
        </w:rPr>
        <w:t>总平面布置的主要危险有害因素是车辆伤害、火灾、泄漏、爆炸、坍塌、触电等。</w:t>
      </w:r>
    </w:p>
    <w:p w14:paraId="2A60F12A">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255" w:name="_Toc12845"/>
      <w:bookmarkStart w:id="256" w:name="_Toc18981"/>
      <w:bookmarkStart w:id="257" w:name="_Toc31182"/>
      <w:bookmarkStart w:id="258" w:name="_Toc9997"/>
      <w:r>
        <w:rPr>
          <w:rFonts w:hint="eastAsia" w:ascii="宋体" w:hAnsi="宋体" w:eastAsia="宋体" w:cs="宋体"/>
          <w:b/>
          <w:smallCaps/>
          <w:color w:val="auto"/>
          <w:kern w:val="0"/>
          <w:szCs w:val="20"/>
          <w:lang w:val="en-US" w:eastAsia="zh-CN"/>
        </w:rPr>
        <w:t>3.4加油站经营场所危险性有害因素分析</w:t>
      </w:r>
      <w:bookmarkEnd w:id="255"/>
      <w:bookmarkEnd w:id="256"/>
      <w:bookmarkEnd w:id="257"/>
      <w:bookmarkEnd w:id="258"/>
    </w:p>
    <w:p w14:paraId="4257F027">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59" w:name="_Toc25687"/>
      <w:bookmarkStart w:id="260" w:name="_Toc151"/>
      <w:bookmarkStart w:id="261" w:name="_Toc21940"/>
      <w:bookmarkStart w:id="262" w:name="_Toc3595"/>
      <w:r>
        <w:rPr>
          <w:rFonts w:hint="eastAsia" w:ascii="宋体" w:hAnsi="宋体" w:eastAsia="宋体" w:cs="宋体"/>
          <w:b/>
          <w:sz w:val="30"/>
          <w:szCs w:val="30"/>
          <w:lang w:val="en-US" w:eastAsia="zh-CN"/>
        </w:rPr>
        <w:t>3.4.1油罐、卸油区</w:t>
      </w:r>
      <w:bookmarkEnd w:id="259"/>
      <w:bookmarkEnd w:id="260"/>
      <w:bookmarkEnd w:id="261"/>
      <w:bookmarkEnd w:id="262"/>
    </w:p>
    <w:p w14:paraId="0D38B0ED">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3.4.1.1火灾、爆炸</w:t>
      </w:r>
    </w:p>
    <w:p w14:paraId="11AB695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1、点火源的产生因素</w:t>
      </w:r>
    </w:p>
    <w:p w14:paraId="088ED89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（1）管道法兰盘未跨接，油罐未接地或接地不良，卸油、加油时流速过快，可能造成静电积聚，在遇到爆炸性混合气体时可引起火灾爆炸事故；</w:t>
      </w:r>
    </w:p>
    <w:p w14:paraId="0693612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（2）未采用密闭卸油方式卸油，油罐卸油管未按规范插入油罐，直接向油罐（量油孔）卸油，导致卸油时油罐静电结聚，发生火灾或爆炸事故；</w:t>
      </w:r>
    </w:p>
    <w:p w14:paraId="640E3B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（3）卸油点未设置静电接地线，卸油时未连接静电接地夹，或者静电地设施失效，接地电阻过大，卸油时产生的静电不能及时消除，可能因静电释放而导致火灾爆炸事故；</w:t>
      </w:r>
    </w:p>
    <w:p w14:paraId="4A23E80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（4）周边火星飘入油罐、通气管、卸油点区域，引燃油蒸汽，从而导致火灾爆炸事故的发生；</w:t>
      </w:r>
    </w:p>
    <w:p w14:paraId="7265C91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（5）油罐防雷接地系统失效，或防雷接</w:t>
      </w:r>
      <w:r>
        <w:rPr>
          <w:rFonts w:hint="eastAsia" w:ascii="宋体" w:hAnsi="宋体" w:eastAsia="宋体" w:cs="宋体"/>
          <w:b w:val="0"/>
          <w:bCs w:val="0"/>
          <w:color w:val="auto"/>
          <w:kern w:val="0"/>
          <w:sz w:val="28"/>
          <w:szCs w:val="28"/>
          <w:lang w:val="en-US" w:eastAsia="zh-CN"/>
        </w:rPr>
        <w:t>地</w:t>
      </w:r>
      <w:r>
        <w:rPr>
          <w:rFonts w:hint="default" w:ascii="宋体" w:hAnsi="宋体" w:eastAsia="宋体" w:cs="宋体"/>
          <w:b w:val="0"/>
          <w:bCs w:val="0"/>
          <w:color w:val="auto"/>
          <w:kern w:val="0"/>
          <w:sz w:val="28"/>
          <w:szCs w:val="28"/>
          <w:lang w:val="en-US" w:eastAsia="zh-CN"/>
        </w:rPr>
        <w:t>设施失效，雷击引起火灾爆炸事故；</w:t>
      </w:r>
    </w:p>
    <w:p w14:paraId="39C8ACC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（6）卸油管线无静电接地、油罐车无静电接地或静电接地不良，造成静电积聚可引起火灾、爆炸事故；</w:t>
      </w:r>
    </w:p>
    <w:p w14:paraId="34571DD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（7）违规在油罐区吸烟、动火等作业，特别是在未对油罐进行清洗</w:t>
      </w:r>
      <w:r>
        <w:rPr>
          <w:rFonts w:hint="eastAsia" w:ascii="宋体" w:hAnsi="宋体" w:eastAsia="宋体" w:cs="宋体"/>
          <w:b w:val="0"/>
          <w:bCs w:val="0"/>
          <w:color w:val="auto"/>
          <w:kern w:val="0"/>
          <w:sz w:val="28"/>
          <w:szCs w:val="28"/>
          <w:lang w:val="en-US" w:eastAsia="zh-CN"/>
        </w:rPr>
        <w:t>、</w:t>
      </w:r>
      <w:r>
        <w:rPr>
          <w:rFonts w:hint="default" w:ascii="宋体" w:hAnsi="宋体" w:eastAsia="宋体" w:cs="宋体"/>
          <w:b w:val="0"/>
          <w:bCs w:val="0"/>
          <w:color w:val="auto"/>
          <w:kern w:val="0"/>
          <w:sz w:val="28"/>
          <w:szCs w:val="28"/>
          <w:lang w:val="en-US" w:eastAsia="zh-CN"/>
        </w:rPr>
        <w:t>吹扫、空气检测、关闭与油罐相连的管道阀门的情况下动火可能会引起火灾、爆炸事故；</w:t>
      </w:r>
    </w:p>
    <w:p w14:paraId="30D3674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（8）卸油、量油操作人员未按规定穿戴防静电工作服，可能在操作期间人体释放静电导致火灾爆炸事故；</w:t>
      </w:r>
    </w:p>
    <w:p w14:paraId="423EFC7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（9）储油罐的量油管口、进油管口如果未延伸至距离油罐底部0.2m处，容易造成卸油时的大量油气挥发和产生静电；</w:t>
      </w:r>
    </w:p>
    <w:p w14:paraId="5B306E8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（10）罐池</w:t>
      </w:r>
      <w:r>
        <w:rPr>
          <w:rFonts w:hint="eastAsia" w:ascii="宋体" w:hAnsi="宋体" w:eastAsia="宋体" w:cs="宋体"/>
          <w:b w:val="0"/>
          <w:bCs w:val="0"/>
          <w:color w:val="auto"/>
          <w:kern w:val="0"/>
          <w:sz w:val="28"/>
          <w:szCs w:val="28"/>
          <w:lang w:val="en-US" w:eastAsia="zh-CN"/>
        </w:rPr>
        <w:t>后方围墙外荒草地</w:t>
      </w:r>
      <w:r>
        <w:rPr>
          <w:rFonts w:hint="default" w:ascii="宋体" w:hAnsi="宋体" w:eastAsia="宋体" w:cs="宋体"/>
          <w:b w:val="0"/>
          <w:bCs w:val="0"/>
          <w:color w:val="auto"/>
          <w:kern w:val="0"/>
          <w:sz w:val="28"/>
          <w:szCs w:val="28"/>
          <w:lang w:val="en-US" w:eastAsia="zh-CN"/>
        </w:rPr>
        <w:t>发生火灾，火星飞入罐区。</w:t>
      </w:r>
    </w:p>
    <w:p w14:paraId="4A5810E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2、油品泄漏因素</w:t>
      </w:r>
    </w:p>
    <w:p w14:paraId="5FB4256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（1）油品运输罐车卸油管道或油罐发生油品泄漏；</w:t>
      </w:r>
    </w:p>
    <w:p w14:paraId="19E4872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（2）油罐通气管管口如果未高出距离周围地坪4m以上，挥发的油蒸气不易迅速扩散；管口未安装阻火器，容易导致外部火源进入储油罐内，造成火灾爆炸事故；</w:t>
      </w:r>
    </w:p>
    <w:p w14:paraId="0A56F13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（3）储油罐液位计失效或监控疏忽，在卸油时可能会造成油品溢出事故；</w:t>
      </w:r>
    </w:p>
    <w:p w14:paraId="64D586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（4）储油罐本身设计不合理，制造质量差，选材不当，会造成其耐压能力不够，发生破裂，导致油品泄漏；</w:t>
      </w:r>
    </w:p>
    <w:p w14:paraId="47D0F0D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（5）埋地油罐的外表面防腐措施不符合规范要求，未采取不低于加强级的防腐绝缘保护，地下水、土壤、杂散电流等，均易加速储罐钢板的腐蚀，造成油品泄漏；</w:t>
      </w:r>
    </w:p>
    <w:p w14:paraId="0928ED8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（6）储油罐罐顶覆土厚度小于0.5m，油罐周围回填细沙厚度小于0.3m</w:t>
      </w:r>
      <w:r>
        <w:rPr>
          <w:rFonts w:hint="eastAsia" w:ascii="宋体" w:hAnsi="宋体" w:eastAsia="宋体" w:cs="宋体"/>
          <w:b w:val="0"/>
          <w:bCs w:val="0"/>
          <w:color w:val="auto"/>
          <w:kern w:val="0"/>
          <w:sz w:val="28"/>
          <w:szCs w:val="28"/>
          <w:lang w:val="en-US" w:eastAsia="zh-CN"/>
        </w:rPr>
        <w:t>，</w:t>
      </w:r>
      <w:r>
        <w:rPr>
          <w:rFonts w:hint="default" w:ascii="宋体" w:hAnsi="宋体" w:eastAsia="宋体" w:cs="宋体"/>
          <w:b w:val="0"/>
          <w:bCs w:val="0"/>
          <w:color w:val="auto"/>
          <w:kern w:val="0"/>
          <w:sz w:val="28"/>
          <w:szCs w:val="28"/>
          <w:lang w:val="en-US" w:eastAsia="zh-CN"/>
        </w:rPr>
        <w:t>容易造成回填的石块、砖块等硬物以及植物的根部损伤油罐的防腐层，影响防腐效果，加剧油罐的腐蚀，造成油罐漏油；</w:t>
      </w:r>
    </w:p>
    <w:p w14:paraId="7E39BA4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（7）地基不均匀下沉会引起罐体倾斜，进而引起罐体损坏、开裂或与之相连的管道断裂，导致泄漏事故；</w:t>
      </w:r>
    </w:p>
    <w:p w14:paraId="100D8D6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（8）油罐未采取锚固等抗上浮措施或失效，油罐区未设置排水系统，强降雨天气，特别在空罐情况下，可能导致油罐上浮，造成罐体损坏、开裂或与之相连的管道断裂，引发泄漏事故；</w:t>
      </w:r>
    </w:p>
    <w:p w14:paraId="14E8C9B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（9）输油管道因腐蚀或强度不足，在启动潜油泵供油时，管道发生泄漏或破裂，造成油品泄漏；</w:t>
      </w:r>
    </w:p>
    <w:p w14:paraId="03AF37D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（10）与输油管线相连的阀门、法兰、垫片等，若由于安装质量差，或由于疏忽漏装，以及使用过程中的腐蚀穿孔、产生疲劳造成的裂纹等，都可能引起油品泄漏；</w:t>
      </w:r>
    </w:p>
    <w:p w14:paraId="556B5CA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（11）若油罐通气管堵塞、阻火帽失灵可能会导致油罐吸瘪事故，严重时可能导致油罐开裂，在卸油时发生油品泄漏；</w:t>
      </w:r>
    </w:p>
    <w:p w14:paraId="3DAA87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3、处置不当</w:t>
      </w:r>
    </w:p>
    <w:p w14:paraId="76B090B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（1）加油站从业人员对汽油、柴油的危险特性和理化性质不了解，不具备初期火灾、油品泄漏等紧急情况的处置能力，盲目操作可能会造成火灾爆炸事故，或者扩大事故后果；</w:t>
      </w:r>
    </w:p>
    <w:p w14:paraId="22569F88">
      <w:pPr>
        <w:keepNext w:val="0"/>
        <w:keepLines w:val="0"/>
        <w:pageBreakBefore w:val="0"/>
        <w:widowControl w:val="0"/>
        <w:tabs>
          <w:tab w:val="left" w:pos="756"/>
        </w:tabs>
        <w:kinsoku/>
        <w:wordWrap/>
        <w:overflowPunct/>
        <w:topLinePunct w:val="0"/>
        <w:autoSpaceDE/>
        <w:autoSpaceDN/>
        <w:bidi w:val="0"/>
        <w:adjustRightInd/>
        <w:snapToGrid/>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（2）未在油罐区配备消防砂、</w:t>
      </w:r>
      <w:r>
        <w:rPr>
          <w:rFonts w:hint="eastAsia" w:ascii="宋体" w:hAnsi="宋体" w:eastAsia="宋体" w:cs="宋体"/>
          <w:b w:val="0"/>
          <w:bCs w:val="0"/>
          <w:color w:val="auto"/>
          <w:kern w:val="0"/>
          <w:sz w:val="28"/>
          <w:szCs w:val="28"/>
          <w:lang w:val="en-US" w:eastAsia="zh-CN"/>
        </w:rPr>
        <w:t>沙桶</w:t>
      </w:r>
      <w:r>
        <w:rPr>
          <w:rFonts w:hint="default" w:ascii="宋体" w:hAnsi="宋体" w:eastAsia="宋体" w:cs="宋体"/>
          <w:b w:val="0"/>
          <w:bCs w:val="0"/>
          <w:color w:val="auto"/>
          <w:kern w:val="0"/>
          <w:sz w:val="28"/>
          <w:szCs w:val="28"/>
          <w:lang w:val="en-US" w:eastAsia="zh-CN"/>
        </w:rPr>
        <w:t>、砂铲、灭火器、灭火毯等消防设施，油品泄漏未及时采用细砂填埋油品，发生初期火灾未及时扑救，均可能会引起油罐区的火灾，甚至爆炸事故；</w:t>
      </w:r>
    </w:p>
    <w:p w14:paraId="00E0B462">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3.4.1.2中毒和窒息</w:t>
      </w:r>
    </w:p>
    <w:p w14:paraId="25C76A0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油品及其蒸气都具有一定的毒性，一般属于刺激性、麻醉性的低毒物质。加油站作业中人体防护不可能全封闭，不可避免地接触到油品，吸入油蒸气易造成中毒和窒息。特别是工作人员进入罐内进行检修、清理，若氧含量降至13%～16%时，人会晕倒；降到13%以下，会死亡。在罐内作业，由于空气中氧含量会慢慢减少，往往内部作业人员会不知不觉地晕厥、窒息。</w:t>
      </w:r>
    </w:p>
    <w:p w14:paraId="11B51D2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若卸油时发生油品泄漏，作业人员大量吸入，则可能发生中毒危害。</w:t>
      </w:r>
    </w:p>
    <w:p w14:paraId="6D5D9B05">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3.4.1.3高处坠落</w:t>
      </w:r>
    </w:p>
    <w:p w14:paraId="6C6130F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操作人员在攀爬油罐车时，若注意力不集中，安全措施不到位，可能会造成高处坠落事故。</w:t>
      </w:r>
    </w:p>
    <w:p w14:paraId="2D7F9D55">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3.4.1.4触电</w:t>
      </w:r>
    </w:p>
    <w:p w14:paraId="0B0C4B5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油罐操作井内潜油泵，若输电线、电器绝缘不良，在入井检查时，若潜油泵处于运行状态，可能发生触电危害。</w:t>
      </w:r>
    </w:p>
    <w:p w14:paraId="1A734821">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3.4.1.5其它</w:t>
      </w:r>
    </w:p>
    <w:p w14:paraId="0E862C1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（1）油罐抽瘪：若油罐通气管堵塞，汽油通气管上阀门操作不当（呼吸阀和阻火帽管的阀门均处于关闭状态），可能会导致油罐吸瘪事故，严重时可能导致油罐开裂。</w:t>
      </w:r>
    </w:p>
    <w:p w14:paraId="747D102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量油孔喷油气：由于采用油气回收，油罐内处于正压状态，采用人工量油方法，对汽油罐进行量油时，若未打开泄压通气管（管口为阻火帽）上的阀门，则油罐内处于正压状态，在打开量油孔盖的瞬间，油气可能会从量油孔喷出，对量油人员造成中毒危害，甚至发生火灾等。</w:t>
      </w:r>
    </w:p>
    <w:p w14:paraId="7EDE4E9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（3）卸油口喷油、喷气：在卸汽油油品时，由于采用油气回收，油罐内处于正压状态，在卸油时，若操作不当（先打开卸油管阀门，再连接卸油管），在打开阀门的瞬间，油气就可能会从卸油口喷出。</w:t>
      </w:r>
    </w:p>
    <w:p w14:paraId="7543357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（4）卸油不畅：若汽油油罐车没有配置卸油油气回收管道，在卸油时，随着罐内油量的增加，罐内压力升高，使卸油速度减缓，油罐车内的油品卸不干净。</w:t>
      </w:r>
    </w:p>
    <w:p w14:paraId="0E2B12B0">
      <w:pPr>
        <w:keepNext w:val="0"/>
        <w:keepLines w:val="0"/>
        <w:pageBreakBefore w:val="0"/>
        <w:widowControl w:val="0"/>
        <w:tabs>
          <w:tab w:val="left" w:pos="756"/>
        </w:tabs>
        <w:kinsoku/>
        <w:wordWrap/>
        <w:overflowPunct/>
        <w:topLinePunct w:val="0"/>
        <w:autoSpaceDE/>
        <w:autoSpaceDN/>
        <w:bidi w:val="0"/>
        <w:adjustRightInd/>
        <w:snapToGrid/>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（5）油罐爆炸破裂：若呼吸阀失效，通气管堵塞，随着罐内油品的增加，罐内压力升高，若油罐强度不足，可能会造成油罐爆炸、破裂。</w:t>
      </w:r>
    </w:p>
    <w:p w14:paraId="33C61C3C">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63" w:name="_Toc8046"/>
      <w:bookmarkStart w:id="264" w:name="_Toc16832"/>
      <w:bookmarkStart w:id="265" w:name="_Toc23520"/>
      <w:bookmarkStart w:id="266" w:name="_Toc1206"/>
      <w:r>
        <w:rPr>
          <w:rFonts w:hint="eastAsia" w:ascii="宋体" w:hAnsi="宋体" w:eastAsia="宋体" w:cs="宋体"/>
          <w:b/>
          <w:sz w:val="30"/>
          <w:szCs w:val="30"/>
          <w:lang w:val="en-US" w:eastAsia="zh-CN"/>
        </w:rPr>
        <w:t>3.4.2加油区</w:t>
      </w:r>
      <w:bookmarkEnd w:id="263"/>
      <w:bookmarkEnd w:id="264"/>
      <w:bookmarkEnd w:id="265"/>
      <w:bookmarkEnd w:id="266"/>
    </w:p>
    <w:p w14:paraId="7B687B53">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3.4.2.1火灾、爆炸</w:t>
      </w:r>
    </w:p>
    <w:p w14:paraId="5094A4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加油区可能因静电、明火火花、油品泄漏等导致火灾爆炸事故的发生。</w:t>
      </w:r>
    </w:p>
    <w:p w14:paraId="5A7CB4D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（1）输油管道破裂、穿孔泄漏，管道法兰、接头等管件泄漏；</w:t>
      </w:r>
    </w:p>
    <w:p w14:paraId="6461DC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（2）管沟敷设时，沟内未用细砂填实，管沟内积聚油气，形成爆炸危险场所；</w:t>
      </w:r>
    </w:p>
    <w:p w14:paraId="786F55E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（3）加油机内管件、计量设备、压缩泵等发生油品泄漏；</w:t>
      </w:r>
    </w:p>
    <w:p w14:paraId="67E6DEB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（4）电气开关、照明灯、加油机等电气设备不防爆，可能因电气火花造成火灾爆炸事故；</w:t>
      </w:r>
    </w:p>
    <w:p w14:paraId="128AA97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（5）加油车辆油箱漏油、加油枪开关失灵跑油、加油枪胶管破裂漏油、加油枪不自封跑油，易引发火灾事故；</w:t>
      </w:r>
    </w:p>
    <w:p w14:paraId="4DADC4A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（6）加油机加油流速大于50L／min时，容易导致汽车油箱溢油，静电起火等事故；</w:t>
      </w:r>
    </w:p>
    <w:p w14:paraId="4D084B7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（7）加油机底槽未用细砂填埋，或者是油砂未及时更换，易导致油气</w:t>
      </w:r>
      <w:r>
        <w:rPr>
          <w:rFonts w:hint="eastAsia" w:ascii="宋体" w:hAnsi="宋体" w:eastAsia="宋体" w:cs="宋体"/>
          <w:b w:val="0"/>
          <w:bCs w:val="0"/>
          <w:color w:val="auto"/>
          <w:kern w:val="0"/>
          <w:sz w:val="28"/>
          <w:szCs w:val="28"/>
          <w:lang w:val="en-US" w:eastAsia="zh-CN"/>
        </w:rPr>
        <w:t>积聚</w:t>
      </w:r>
      <w:r>
        <w:rPr>
          <w:rFonts w:hint="default" w:ascii="宋体" w:hAnsi="宋体" w:eastAsia="宋体" w:cs="宋体"/>
          <w:b w:val="0"/>
          <w:bCs w:val="0"/>
          <w:color w:val="auto"/>
          <w:kern w:val="0"/>
          <w:sz w:val="28"/>
          <w:szCs w:val="28"/>
          <w:lang w:val="en-US" w:eastAsia="zh-CN"/>
        </w:rPr>
        <w:t>；</w:t>
      </w:r>
    </w:p>
    <w:p w14:paraId="4B05CAA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（8）加油机内设备、管道、管件、构件未进行接地处理，或接地失效；</w:t>
      </w:r>
    </w:p>
    <w:p w14:paraId="5137AF4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（9）加油员未穿着防静电工作服、穿带铁钉的鞋作业，产生火星；</w:t>
      </w:r>
    </w:p>
    <w:p w14:paraId="499DE9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（10）加油员、司乘人员违反规定吸烟、使用通讯工具、穿脱化纤衣物，车辆未熄火加油、任意启动车辆等，均易导致油品火灾爆炸事故；</w:t>
      </w:r>
    </w:p>
    <w:p w14:paraId="45D865C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（11）车辆未熄火加油，排气管产生的火星可能会引起火灾；</w:t>
      </w:r>
    </w:p>
    <w:p w14:paraId="617DF11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（12）采用塑料桶加油，产生静电；</w:t>
      </w:r>
    </w:p>
    <w:p w14:paraId="075AE70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（13）加油岛未设防撞护栏或防撞栏失效，加油机底部供油管道上的剪</w:t>
      </w:r>
    </w:p>
    <w:p w14:paraId="2C79B61C">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切阀失效，车辆撞击会损坏加油机及相关管道，引起油品泄漏、火灾事故；</w:t>
      </w:r>
    </w:p>
    <w:p w14:paraId="3262F07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（14）加完油后未拔出油枪，车辆驶离加油站拉断加油枪软管（拉断阀失效），甚至拉倒整个加油机（前切阀失效），造成油品泄漏、火灾事故；</w:t>
      </w:r>
    </w:p>
    <w:p w14:paraId="019A69E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（15）违规使用明火照油箱观测加油情况；</w:t>
      </w:r>
    </w:p>
    <w:p w14:paraId="43AB42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（16）灭火设施配备不到位，如消防沙池、消防桶、消防铲、灭火器、灭火毯等，发生初期火灾时未及时扑救，导致事故扩大。</w:t>
      </w:r>
    </w:p>
    <w:p w14:paraId="7A72AC2A">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3.4.2.2触电</w:t>
      </w:r>
    </w:p>
    <w:p w14:paraId="2C3577D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加油机漏电是造成触电事故的主要原因，加油机漏电时，极易造成火灾</w:t>
      </w:r>
    </w:p>
    <w:p w14:paraId="6A0E0B7A">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与触电事故，危险性很大，主要有以下原因：</w:t>
      </w:r>
    </w:p>
    <w:p w14:paraId="2EDAAD3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（1）接线盒进水或接线板绝缘能力下降；</w:t>
      </w:r>
    </w:p>
    <w:p w14:paraId="549C47B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（2）外电源输入线破皮又与加油机外壳相接触；</w:t>
      </w:r>
    </w:p>
    <w:p w14:paraId="39B1DA9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（3）加油机未设可靠的地线与漏电保护电路；</w:t>
      </w:r>
    </w:p>
    <w:p w14:paraId="54D09F6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（4）加油机内部电路由于其他原因而造成漏电。</w:t>
      </w:r>
    </w:p>
    <w:p w14:paraId="02363B1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（5）加油机内电气穿线管口未封堵，油气进入穿线管。</w:t>
      </w:r>
    </w:p>
    <w:p w14:paraId="40CEF0A6">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3.4.2.3车辆伤害</w:t>
      </w:r>
    </w:p>
    <w:p w14:paraId="1CC9FB2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（1）加油站进出站口安全警示标志不全，加油车辆超速行驶、违章行驶、加油车道宽度不足、出入口设置不合理、未对进出站车辆有效引导，均有可能发生车辆伤害事故；</w:t>
      </w:r>
    </w:p>
    <w:p w14:paraId="0C656E1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（2）加油站照明不够、视线不好；</w:t>
      </w:r>
    </w:p>
    <w:p w14:paraId="0D27DE0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（3）加油机与站外公路的距离不足。</w:t>
      </w:r>
    </w:p>
    <w:p w14:paraId="0993E63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（4）加油岛端部（罩棚立柱外）未设置安全防护栏杆或者防护栏杆失效，若驾驶员操作失控，会</w:t>
      </w:r>
      <w:r>
        <w:rPr>
          <w:rFonts w:hint="eastAsia" w:ascii="宋体" w:hAnsi="宋体" w:eastAsia="宋体" w:cs="宋体"/>
          <w:b w:val="0"/>
          <w:bCs w:val="0"/>
          <w:color w:val="auto"/>
          <w:kern w:val="0"/>
          <w:sz w:val="28"/>
          <w:szCs w:val="28"/>
          <w:lang w:val="en-US" w:eastAsia="zh-CN"/>
        </w:rPr>
        <w:t>损坏</w:t>
      </w:r>
      <w:r>
        <w:rPr>
          <w:rFonts w:hint="default" w:ascii="宋体" w:hAnsi="宋体" w:eastAsia="宋体" w:cs="宋体"/>
          <w:b w:val="0"/>
          <w:bCs w:val="0"/>
          <w:color w:val="auto"/>
          <w:kern w:val="0"/>
          <w:sz w:val="28"/>
          <w:szCs w:val="28"/>
          <w:lang w:val="en-US" w:eastAsia="zh-CN"/>
        </w:rPr>
        <w:t>加油机、罩棚立柱。严重时，可能导致罩棚坍塌。</w:t>
      </w:r>
    </w:p>
    <w:p w14:paraId="1C6055CF">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3.4.2.4高处坠落</w:t>
      </w:r>
    </w:p>
    <w:p w14:paraId="6360018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对加油罩棚进行检维修、装修作业，或者更换、安装照明灯、视频监控等设施，这些作业均属于高处作业，若安全防范措施不到位，可能会发生高处坠落事故；</w:t>
      </w:r>
    </w:p>
    <w:p w14:paraId="1770EE7C">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267" w:name="_Toc19863"/>
      <w:bookmarkStart w:id="268" w:name="_Toc25688"/>
      <w:bookmarkStart w:id="269" w:name="_Toc9603"/>
      <w:bookmarkStart w:id="270" w:name="_Toc29649"/>
      <w:r>
        <w:rPr>
          <w:rFonts w:hint="eastAsia" w:ascii="宋体" w:hAnsi="宋体" w:eastAsia="宋体" w:cs="宋体"/>
          <w:b/>
          <w:sz w:val="30"/>
          <w:szCs w:val="30"/>
          <w:lang w:val="en-US" w:eastAsia="zh-CN"/>
        </w:rPr>
        <w:t>3.4.3供配电</w:t>
      </w:r>
      <w:bookmarkEnd w:id="267"/>
      <w:bookmarkEnd w:id="268"/>
      <w:bookmarkEnd w:id="269"/>
      <w:bookmarkEnd w:id="270"/>
    </w:p>
    <w:p w14:paraId="10808847">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3.4.3.1火灾</w:t>
      </w:r>
    </w:p>
    <w:p w14:paraId="1F22827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（1）超负荷用电、过载、接线不规范、乱拉乱接、发热、电器使用管理不当、电气线路短路等会引起火灾；</w:t>
      </w:r>
    </w:p>
    <w:p w14:paraId="6EC42D5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（2）设置不合理，燃油泄漏，遇点火火源，发生火灾或爆炸事故。</w:t>
      </w:r>
    </w:p>
    <w:p w14:paraId="4634349B">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3.4.3.2触电</w:t>
      </w:r>
    </w:p>
    <w:p w14:paraId="5AB488F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（1）未安装漏电保护器或保护器失效；</w:t>
      </w:r>
    </w:p>
    <w:p w14:paraId="5DC9AF8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（2）电气老化、绝缘破损、短路、私拉乱接等易造成人员触电事故；</w:t>
      </w:r>
    </w:p>
    <w:p w14:paraId="4B80C32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（3）配电柜地面未铺设绝缘胶垫、电气设备若未接地或接地不良。</w:t>
      </w:r>
    </w:p>
    <w:p w14:paraId="2B1F9220">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3.4.3.3雷电危害</w:t>
      </w:r>
    </w:p>
    <w:p w14:paraId="62E12C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若配电设备未安装电涌保护装置，当发生雷暴天气，若有人员在配电房作业，可能会受到感应雷电的伤害。</w:t>
      </w:r>
    </w:p>
    <w:p w14:paraId="2A031589">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3.4.3.4中毒</w:t>
      </w:r>
    </w:p>
    <w:p w14:paraId="7F29238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附房</w:t>
      </w:r>
      <w:r>
        <w:rPr>
          <w:rFonts w:hint="default" w:ascii="宋体" w:hAnsi="宋体" w:eastAsia="宋体" w:cs="宋体"/>
          <w:b w:val="0"/>
          <w:bCs w:val="0"/>
          <w:color w:val="auto"/>
          <w:kern w:val="0"/>
          <w:sz w:val="28"/>
          <w:szCs w:val="28"/>
          <w:lang w:val="en-US" w:eastAsia="zh-CN"/>
        </w:rPr>
        <w:t>设置有发电机，若使用时</w:t>
      </w:r>
      <w:r>
        <w:rPr>
          <w:rFonts w:hint="eastAsia" w:ascii="宋体" w:hAnsi="宋体" w:eastAsia="宋体" w:cs="宋体"/>
          <w:b w:val="0"/>
          <w:bCs w:val="0"/>
          <w:color w:val="auto"/>
          <w:kern w:val="0"/>
          <w:sz w:val="28"/>
          <w:szCs w:val="28"/>
          <w:lang w:val="en-US" w:eastAsia="zh-CN"/>
        </w:rPr>
        <w:t>排出的烟尘未能及时排出室外，</w:t>
      </w:r>
      <w:r>
        <w:rPr>
          <w:rFonts w:hint="default" w:ascii="宋体" w:hAnsi="宋体" w:eastAsia="宋体" w:cs="宋体"/>
          <w:b w:val="0"/>
          <w:bCs w:val="0"/>
          <w:color w:val="auto"/>
          <w:kern w:val="0"/>
          <w:sz w:val="28"/>
          <w:szCs w:val="28"/>
          <w:lang w:val="en-US" w:eastAsia="zh-CN"/>
        </w:rPr>
        <w:t>烟气在房间内大量积聚，该烟气具有一定的毒性，高浓度的烟气除可能引起职业危害外，还可能会造成烟气中毒事故。</w:t>
      </w:r>
    </w:p>
    <w:p w14:paraId="2E3B86ED">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71" w:name="_Toc7399"/>
      <w:bookmarkStart w:id="272" w:name="_Toc23218"/>
      <w:bookmarkStart w:id="273" w:name="_Toc26850"/>
      <w:bookmarkStart w:id="274" w:name="_Toc14715"/>
      <w:r>
        <w:rPr>
          <w:rFonts w:hint="eastAsia" w:ascii="宋体" w:hAnsi="宋体" w:eastAsia="宋体" w:cs="宋体"/>
          <w:b/>
          <w:sz w:val="30"/>
          <w:szCs w:val="30"/>
          <w:lang w:val="en-US" w:eastAsia="zh-CN"/>
        </w:rPr>
        <w:t>3.4.4给排水</w:t>
      </w:r>
      <w:bookmarkEnd w:id="271"/>
      <w:bookmarkEnd w:id="272"/>
      <w:bookmarkEnd w:id="273"/>
      <w:bookmarkEnd w:id="274"/>
    </w:p>
    <w:p w14:paraId="471E882F">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3.4.4.1火灾</w:t>
      </w:r>
    </w:p>
    <w:p w14:paraId="69B5746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若加油区、卸油区地面存在油污或漏油，用水冲洗，油水分离设施</w:t>
      </w:r>
      <w:r>
        <w:rPr>
          <w:rFonts w:hint="eastAsia" w:ascii="宋体" w:hAnsi="宋体" w:eastAsia="宋体" w:cs="宋体"/>
          <w:b w:val="0"/>
          <w:bCs w:val="0"/>
          <w:color w:val="auto"/>
          <w:kern w:val="0"/>
          <w:sz w:val="28"/>
          <w:szCs w:val="28"/>
          <w:lang w:val="en-US" w:eastAsia="zh-CN"/>
        </w:rPr>
        <w:t>失效</w:t>
      </w:r>
      <w:r>
        <w:rPr>
          <w:rFonts w:hint="default" w:ascii="宋体" w:hAnsi="宋体" w:eastAsia="宋体" w:cs="宋体"/>
          <w:b w:val="0"/>
          <w:bCs w:val="0"/>
          <w:color w:val="auto"/>
          <w:kern w:val="0"/>
          <w:sz w:val="28"/>
          <w:szCs w:val="28"/>
          <w:lang w:val="en-US" w:eastAsia="zh-CN"/>
        </w:rPr>
        <w:t>，油污水流出站外，遇火源，可能发生火灾危害；火源可能沿污水沟燃烧，引入加油站，导致加油站发生火灾。</w:t>
      </w:r>
    </w:p>
    <w:p w14:paraId="76CCEF64">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3.4.4.2其它</w:t>
      </w:r>
    </w:p>
    <w:p w14:paraId="7F2BE32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（1）若给水管道破裂，会造成水资源浪费；</w:t>
      </w:r>
    </w:p>
    <w:p w14:paraId="0E66F6A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（2）含有污水流出站外，会对站外水质等造成污染；</w:t>
      </w:r>
    </w:p>
    <w:p w14:paraId="2113D6C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（3）由于当地极端低温低于0℃,可能发生水管结冰而破裂。</w:t>
      </w:r>
    </w:p>
    <w:p w14:paraId="6FB2E50E">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275" w:name="_Toc20702"/>
      <w:bookmarkStart w:id="276" w:name="_Toc29709"/>
      <w:bookmarkStart w:id="277" w:name="_Toc31513"/>
      <w:bookmarkStart w:id="278" w:name="_Toc20420"/>
      <w:r>
        <w:rPr>
          <w:rFonts w:hint="eastAsia" w:ascii="宋体" w:hAnsi="宋体" w:eastAsia="宋体" w:cs="宋体"/>
          <w:b/>
          <w:smallCaps/>
          <w:color w:val="auto"/>
          <w:kern w:val="0"/>
          <w:szCs w:val="20"/>
          <w:lang w:val="en-US" w:eastAsia="zh-CN"/>
        </w:rPr>
        <w:t>3.5建构筑物</w:t>
      </w:r>
      <w:bookmarkEnd w:id="275"/>
      <w:bookmarkEnd w:id="276"/>
      <w:bookmarkEnd w:id="277"/>
      <w:bookmarkEnd w:id="278"/>
    </w:p>
    <w:p w14:paraId="56E37E94">
      <w:pPr>
        <w:keepNext w:val="0"/>
        <w:keepLines w:val="0"/>
        <w:pageBreakBefore w:val="0"/>
        <w:widowControl w:val="0"/>
        <w:kinsoku/>
        <w:wordWrap/>
        <w:overflowPunct/>
        <w:topLinePunct w:val="0"/>
        <w:autoSpaceDE/>
        <w:autoSpaceDN/>
        <w:bidi w:val="0"/>
        <w:adjustRightInd w:val="0"/>
        <w:snapToGrid w:val="0"/>
        <w:spacing w:beforeAutospacing="0" w:afterAutospacing="0" w:line="600" w:lineRule="exact"/>
        <w:ind w:firstLine="560" w:firstLineChars="200"/>
        <w:jc w:val="both"/>
        <w:textAlignment w:val="auto"/>
        <w:outlineLvl w:val="9"/>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该加油站的建构筑物主要是站房、罩棚</w:t>
      </w:r>
      <w:r>
        <w:rPr>
          <w:rFonts w:hint="eastAsia" w:ascii="宋体" w:hAnsi="宋体" w:eastAsia="宋体" w:cs="宋体"/>
          <w:b w:val="0"/>
          <w:bCs w:val="0"/>
          <w:color w:val="auto"/>
          <w:kern w:val="0"/>
          <w:sz w:val="28"/>
          <w:szCs w:val="28"/>
          <w:lang w:val="en-US" w:eastAsia="zh-CN"/>
        </w:rPr>
        <w:t>、附房</w:t>
      </w:r>
      <w:r>
        <w:rPr>
          <w:rFonts w:hint="default" w:ascii="宋体" w:hAnsi="宋体" w:eastAsia="宋体" w:cs="宋体"/>
          <w:b w:val="0"/>
          <w:bCs w:val="0"/>
          <w:color w:val="auto"/>
          <w:kern w:val="0"/>
          <w:sz w:val="28"/>
          <w:szCs w:val="28"/>
          <w:lang w:val="en-US" w:eastAsia="zh-CN"/>
        </w:rPr>
        <w:t>等。</w:t>
      </w:r>
    </w:p>
    <w:p w14:paraId="4AA39D8F">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79" w:name="_Toc2514"/>
      <w:bookmarkStart w:id="280" w:name="_Toc20636"/>
      <w:bookmarkStart w:id="281" w:name="_Toc5774"/>
      <w:bookmarkStart w:id="282" w:name="_Toc11551"/>
      <w:r>
        <w:rPr>
          <w:rFonts w:hint="eastAsia" w:ascii="宋体" w:hAnsi="宋体" w:eastAsia="宋体" w:cs="宋体"/>
          <w:b/>
          <w:sz w:val="30"/>
          <w:szCs w:val="30"/>
          <w:lang w:val="en-US" w:eastAsia="zh-CN"/>
        </w:rPr>
        <w:t>3.5.1火灾</w:t>
      </w:r>
      <w:bookmarkEnd w:id="279"/>
      <w:bookmarkEnd w:id="280"/>
      <w:bookmarkEnd w:id="281"/>
      <w:bookmarkEnd w:id="282"/>
    </w:p>
    <w:p w14:paraId="78FB397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（1）若站房、配电房、</w:t>
      </w:r>
      <w:r>
        <w:rPr>
          <w:rFonts w:hint="eastAsia" w:ascii="宋体" w:hAnsi="宋体" w:eastAsia="宋体" w:cs="宋体"/>
          <w:b w:val="0"/>
          <w:bCs w:val="0"/>
          <w:color w:val="auto"/>
          <w:kern w:val="0"/>
          <w:sz w:val="28"/>
          <w:szCs w:val="28"/>
          <w:lang w:val="en-US" w:eastAsia="zh-CN"/>
        </w:rPr>
        <w:t>附</w:t>
      </w:r>
      <w:r>
        <w:rPr>
          <w:rFonts w:hint="default" w:ascii="宋体" w:hAnsi="宋体" w:eastAsia="宋体" w:cs="宋体"/>
          <w:b w:val="0"/>
          <w:bCs w:val="0"/>
          <w:color w:val="auto"/>
          <w:kern w:val="0"/>
          <w:sz w:val="28"/>
          <w:szCs w:val="28"/>
          <w:lang w:val="en-US" w:eastAsia="zh-CN"/>
        </w:rPr>
        <w:t>房内违规用火，引燃可燃物（油料、衣物、沙发等），会发生火灾事故。</w:t>
      </w:r>
    </w:p>
    <w:p w14:paraId="7E5BB5F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（2）房间内用电线路发生破损、短路，而引发火灾事故。</w:t>
      </w:r>
    </w:p>
    <w:p w14:paraId="3BECBFBD">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83" w:name="_Toc4512"/>
      <w:bookmarkStart w:id="284" w:name="_Toc13999"/>
      <w:bookmarkStart w:id="285" w:name="_Toc17569"/>
      <w:bookmarkStart w:id="286" w:name="_Toc22104"/>
      <w:r>
        <w:rPr>
          <w:rFonts w:hint="eastAsia" w:ascii="宋体" w:hAnsi="宋体" w:eastAsia="宋体" w:cs="宋体"/>
          <w:b/>
          <w:sz w:val="30"/>
          <w:szCs w:val="30"/>
          <w:lang w:val="en-US" w:eastAsia="zh-CN"/>
        </w:rPr>
        <w:t>3.5.2坍塌</w:t>
      </w:r>
      <w:bookmarkEnd w:id="283"/>
      <w:bookmarkEnd w:id="284"/>
      <w:bookmarkEnd w:id="285"/>
      <w:bookmarkEnd w:id="286"/>
    </w:p>
    <w:p w14:paraId="48D46A2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（1）若房屋的墙体、构造柱等支撑体强度不足，或出现地震等外力破坏，会发生坍塌事故；</w:t>
      </w:r>
    </w:p>
    <w:p w14:paraId="4032015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（2）若遇大风气候，可能会将罩棚屋面吹翻，发生坍塌事故；甚至</w:t>
      </w:r>
      <w:r>
        <w:rPr>
          <w:rFonts w:hint="eastAsia" w:ascii="宋体" w:hAnsi="宋体" w:eastAsia="宋体" w:cs="宋体"/>
          <w:b w:val="0"/>
          <w:bCs w:val="0"/>
          <w:color w:val="auto"/>
          <w:kern w:val="0"/>
          <w:sz w:val="28"/>
          <w:szCs w:val="28"/>
          <w:lang w:val="en-US" w:eastAsia="zh-CN"/>
        </w:rPr>
        <w:t>导致</w:t>
      </w:r>
      <w:r>
        <w:rPr>
          <w:rFonts w:hint="default" w:ascii="宋体" w:hAnsi="宋体" w:eastAsia="宋体" w:cs="宋体"/>
          <w:b w:val="0"/>
          <w:bCs w:val="0"/>
          <w:color w:val="auto"/>
          <w:kern w:val="0"/>
          <w:sz w:val="28"/>
          <w:szCs w:val="28"/>
          <w:lang w:val="en-US" w:eastAsia="zh-CN"/>
        </w:rPr>
        <w:t>物体打击伤害。</w:t>
      </w:r>
    </w:p>
    <w:p w14:paraId="7A6A07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（3）遇地震，可能会导致罩棚等建筑物坍塌。</w:t>
      </w:r>
    </w:p>
    <w:p w14:paraId="65AB55EA">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sz w:val="30"/>
          <w:szCs w:val="30"/>
          <w:lang w:val="en-US" w:eastAsia="zh-CN"/>
        </w:rPr>
      </w:pPr>
      <w:bookmarkStart w:id="287" w:name="_Toc29455"/>
      <w:bookmarkStart w:id="288" w:name="_Toc27039"/>
      <w:bookmarkStart w:id="289" w:name="_Toc32463"/>
      <w:bookmarkStart w:id="290" w:name="_Toc10589"/>
      <w:r>
        <w:rPr>
          <w:rFonts w:hint="eastAsia" w:ascii="宋体" w:hAnsi="宋体" w:eastAsia="宋体" w:cs="宋体"/>
          <w:b/>
          <w:sz w:val="30"/>
          <w:szCs w:val="30"/>
          <w:lang w:val="en-US" w:eastAsia="zh-CN"/>
        </w:rPr>
        <w:t>3.5.3高处坠落</w:t>
      </w:r>
      <w:bookmarkEnd w:id="287"/>
      <w:bookmarkEnd w:id="288"/>
      <w:bookmarkEnd w:id="289"/>
      <w:bookmarkEnd w:id="290"/>
    </w:p>
    <w:p w14:paraId="1544D10F">
      <w:pPr>
        <w:keepNext w:val="0"/>
        <w:keepLines w:val="0"/>
        <w:pageBreakBefore w:val="0"/>
        <w:widowControl w:val="0"/>
        <w:tabs>
          <w:tab w:val="left" w:pos="756"/>
        </w:tabs>
        <w:kinsoku/>
        <w:wordWrap/>
        <w:overflowPunct/>
        <w:topLinePunct w:val="0"/>
        <w:autoSpaceDE/>
        <w:autoSpaceDN/>
        <w:bidi w:val="0"/>
        <w:adjustRightInd/>
        <w:snapToGrid/>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在罩棚、房屋屋面、挡墙边沿行走，若屋面临空面无防护、防护措施损坏、疏忽大意，可能会发生高处坠落事故。</w:t>
      </w:r>
    </w:p>
    <w:p w14:paraId="3C4B858A">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291" w:name="_Toc8746"/>
      <w:bookmarkStart w:id="292" w:name="_Toc30013"/>
      <w:bookmarkStart w:id="293" w:name="_Toc29142"/>
      <w:bookmarkStart w:id="294" w:name="_Toc32538"/>
      <w:r>
        <w:rPr>
          <w:rFonts w:hint="eastAsia" w:ascii="宋体" w:hAnsi="宋体" w:eastAsia="宋体" w:cs="宋体"/>
          <w:b/>
          <w:smallCaps/>
          <w:color w:val="auto"/>
          <w:kern w:val="0"/>
          <w:szCs w:val="20"/>
          <w:lang w:val="en-US" w:eastAsia="zh-CN"/>
        </w:rPr>
        <w:t>3.6人的不安全行为辨识</w:t>
      </w:r>
      <w:bookmarkEnd w:id="291"/>
      <w:bookmarkEnd w:id="292"/>
      <w:bookmarkEnd w:id="293"/>
      <w:bookmarkEnd w:id="294"/>
    </w:p>
    <w:p w14:paraId="1A6E80A4">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295" w:name="_Toc19109"/>
      <w:bookmarkStart w:id="296" w:name="_Toc2303"/>
      <w:bookmarkStart w:id="297" w:name="_Toc3719"/>
      <w:bookmarkStart w:id="298" w:name="_Toc12437"/>
      <w:r>
        <w:rPr>
          <w:rFonts w:hint="eastAsia" w:ascii="宋体" w:hAnsi="宋体" w:eastAsia="宋体" w:cs="宋体"/>
          <w:b/>
          <w:sz w:val="30"/>
          <w:szCs w:val="30"/>
          <w:lang w:val="en-US" w:eastAsia="zh-CN"/>
        </w:rPr>
        <w:t>3.6.1卸油作业</w:t>
      </w:r>
      <w:bookmarkEnd w:id="295"/>
      <w:bookmarkEnd w:id="296"/>
      <w:bookmarkEnd w:id="297"/>
      <w:bookmarkEnd w:id="298"/>
    </w:p>
    <w:p w14:paraId="7A64A8B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（1）在卸油时操作人员违规吸烟、用火或用铁器敲打等，容易造成火</w:t>
      </w:r>
    </w:p>
    <w:p w14:paraId="61EEE35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灾、爆炸事故；</w:t>
      </w:r>
    </w:p>
    <w:p w14:paraId="6FC738D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（2）操作人员未按照规定穿戴防静电工作服，衣服静电释放可能会造成火灾、爆炸事故；</w:t>
      </w:r>
    </w:p>
    <w:p w14:paraId="5D1978D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（3）油罐车未停稳放置</w:t>
      </w:r>
      <w:r>
        <w:rPr>
          <w:rFonts w:hint="eastAsia" w:ascii="宋体" w:hAnsi="宋体" w:eastAsia="宋体" w:cs="宋体"/>
          <w:b w:val="0"/>
          <w:bCs w:val="0"/>
          <w:color w:val="auto"/>
          <w:kern w:val="0"/>
          <w:sz w:val="28"/>
          <w:szCs w:val="28"/>
          <w:lang w:val="en-US" w:eastAsia="zh-CN"/>
        </w:rPr>
        <w:t>5</w:t>
      </w:r>
      <w:r>
        <w:rPr>
          <w:rFonts w:hint="default" w:ascii="宋体" w:hAnsi="宋体" w:eastAsia="宋体" w:cs="宋体"/>
          <w:b w:val="0"/>
          <w:bCs w:val="0"/>
          <w:color w:val="auto"/>
          <w:kern w:val="0"/>
          <w:sz w:val="28"/>
          <w:szCs w:val="28"/>
          <w:lang w:val="en-US" w:eastAsia="zh-CN"/>
        </w:rPr>
        <w:t>分钟以上即进行卸油操作，油罐车及油品静电未完全释放，亦可能会引起火灾、爆炸事故；</w:t>
      </w:r>
    </w:p>
    <w:p w14:paraId="36258B7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（4）为加快卸油速度，卸油人员可能会违规打开油罐车油罐人孔盖及加油站油罐的人孔盖，此时油品流速较快，会产生大量静电和大量的油品蒸汽挥发，极易造成火灾、爆炸事故；</w:t>
      </w:r>
    </w:p>
    <w:p w14:paraId="7E88DC3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（5）在量油时，违规使用铁棒等硬质材料，若铁棒与操作井、油罐等产生碰撞并产生火花，可能会造成火灾、爆炸事故；</w:t>
      </w:r>
    </w:p>
    <w:p w14:paraId="20BA45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（6）卸完油品后，未确认卸油管道是否断开连接即启动车辆，可能会</w:t>
      </w:r>
    </w:p>
    <w:p w14:paraId="5B6027E2">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拉断油品卸油管道，从而引发事故；</w:t>
      </w:r>
    </w:p>
    <w:p w14:paraId="2B5C994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（7）在卸油前未确认油罐液位高度和可装油品量，盲目卸油，可能会造成油品溢出；</w:t>
      </w:r>
    </w:p>
    <w:p w14:paraId="017A434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（8）在油罐车上进行量油、取样操作时，若不注意安全，可能会造成高处坠落事故，若未穿戴防静电工作服或未使用防爆工具，可能会造成油罐车火灾、爆炸事故；</w:t>
      </w:r>
    </w:p>
    <w:p w14:paraId="11CF25E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（9）在雷雨天气情况下卸油，可能会因雷击、感应雷等因素造成火灾、爆炸事故。</w:t>
      </w:r>
    </w:p>
    <w:p w14:paraId="37A8A1A3">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299" w:name="_Toc26304"/>
      <w:bookmarkStart w:id="300" w:name="_Toc13303"/>
      <w:bookmarkStart w:id="301" w:name="_Toc18511"/>
      <w:bookmarkStart w:id="302" w:name="_Toc26975"/>
      <w:r>
        <w:rPr>
          <w:rFonts w:hint="eastAsia" w:ascii="宋体" w:hAnsi="宋体" w:eastAsia="宋体" w:cs="宋体"/>
          <w:b/>
          <w:sz w:val="30"/>
          <w:szCs w:val="30"/>
          <w:lang w:val="en-US" w:eastAsia="zh-CN"/>
        </w:rPr>
        <w:t>3.6.2加油作业</w:t>
      </w:r>
      <w:bookmarkEnd w:id="299"/>
      <w:bookmarkEnd w:id="300"/>
      <w:bookmarkEnd w:id="301"/>
      <w:bookmarkEnd w:id="302"/>
    </w:p>
    <w:p w14:paraId="5942E4B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（1）加油员未穿戴防静电工作服，在加油操作时工作服静电释放，可</w:t>
      </w:r>
    </w:p>
    <w:p w14:paraId="0FCD76F3">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能会引起加油机、加油车辆的火灾，甚至爆炸事故；</w:t>
      </w:r>
    </w:p>
    <w:p w14:paraId="3DB081E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（2）加油员未正确引导进站车辆，可能会造成车辆伤害、车辆碰撞加油机等事故；</w:t>
      </w:r>
    </w:p>
    <w:p w14:paraId="3C4A9D6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（3）车辆加油后未及时控出油枪，车辆启动可能会拉断加油软管，甚</w:t>
      </w:r>
    </w:p>
    <w:p w14:paraId="5BCBC1E6">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至把加油机拉倒，引起油品泄漏、火灾等事故；</w:t>
      </w:r>
    </w:p>
    <w:p w14:paraId="5AB900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（4）违规给塑料制品油桶注入，可能会造成火灾，甚至爆炸事故；</w:t>
      </w:r>
    </w:p>
    <w:p w14:paraId="36EE69B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（5）加油员未及时制止未熄火加油、吸烟、铁器敲击等危险行为，可</w:t>
      </w:r>
    </w:p>
    <w:p w14:paraId="3246D996">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能会造成加油区火灾等事故；</w:t>
      </w:r>
    </w:p>
    <w:p w14:paraId="7397475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（6）驾驶员、乘客在加油区吸烟、拨打手机，穿着化纤服装在加油油</w:t>
      </w:r>
    </w:p>
    <w:p w14:paraId="71DC9A93">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箱口附近擦碰。</w:t>
      </w:r>
    </w:p>
    <w:p w14:paraId="628CDA97">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303" w:name="_Toc19556"/>
      <w:bookmarkStart w:id="304" w:name="_Toc25011"/>
      <w:bookmarkStart w:id="305" w:name="_Toc24098"/>
      <w:bookmarkStart w:id="306" w:name="_Toc16923"/>
      <w:r>
        <w:rPr>
          <w:rFonts w:hint="eastAsia" w:ascii="宋体" w:hAnsi="宋体" w:eastAsia="宋体" w:cs="宋体"/>
          <w:b/>
          <w:sz w:val="30"/>
          <w:szCs w:val="30"/>
          <w:lang w:val="en-US" w:eastAsia="zh-CN"/>
        </w:rPr>
        <w:t>3.6.3量油作业</w:t>
      </w:r>
      <w:bookmarkEnd w:id="303"/>
      <w:bookmarkEnd w:id="304"/>
      <w:bookmarkEnd w:id="305"/>
      <w:bookmarkEnd w:id="306"/>
    </w:p>
    <w:p w14:paraId="31E07D6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（1）加油员未穿戴防静电工作服，在量油操作时工作服静电释放，可</w:t>
      </w:r>
    </w:p>
    <w:p w14:paraId="418E741D">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能会引起油罐的火灾，甚至爆炸事故；</w:t>
      </w:r>
    </w:p>
    <w:p w14:paraId="2B4F96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（2）违规采用铁质工具打开量油口，因碰撞产生火星，引起火灾；</w:t>
      </w:r>
    </w:p>
    <w:p w14:paraId="7FE191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（3）在对汽油罐进行量油作业时，未先打开应急通气管，让油罐内蒸</w:t>
      </w:r>
    </w:p>
    <w:p w14:paraId="711CAFBE">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eastAsia" w:ascii="宋体" w:hAnsi="宋体" w:eastAsia="宋体" w:cs="宋体"/>
          <w:b w:val="0"/>
          <w:bCs w:val="0"/>
          <w:color w:val="auto"/>
          <w:kern w:val="0"/>
          <w:sz w:val="28"/>
          <w:szCs w:val="28"/>
          <w:lang w:val="en-US" w:eastAsia="zh-CN"/>
        </w:rPr>
        <w:t>气压</w:t>
      </w:r>
      <w:r>
        <w:rPr>
          <w:rFonts w:hint="default" w:ascii="宋体" w:hAnsi="宋体" w:eastAsia="宋体" w:cs="宋体"/>
          <w:b w:val="0"/>
          <w:bCs w:val="0"/>
          <w:color w:val="auto"/>
          <w:kern w:val="0"/>
          <w:sz w:val="28"/>
          <w:szCs w:val="28"/>
          <w:lang w:val="en-US" w:eastAsia="zh-CN"/>
        </w:rPr>
        <w:t>与罐外大气平衡，开盖时，油罐内油气喷出，引起火灾危害。</w:t>
      </w:r>
    </w:p>
    <w:p w14:paraId="78DB56A4">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sz w:val="30"/>
          <w:szCs w:val="30"/>
          <w:lang w:val="en-US" w:eastAsia="zh-CN"/>
        </w:rPr>
      </w:pPr>
      <w:bookmarkStart w:id="307" w:name="_Toc14162"/>
      <w:bookmarkStart w:id="308" w:name="_Toc20892"/>
      <w:bookmarkStart w:id="309" w:name="_Toc23908"/>
      <w:bookmarkStart w:id="310" w:name="_Toc10520"/>
      <w:r>
        <w:rPr>
          <w:rFonts w:hint="eastAsia" w:ascii="宋体" w:hAnsi="宋体" w:eastAsia="宋体" w:cs="宋体"/>
          <w:b/>
          <w:sz w:val="30"/>
          <w:szCs w:val="30"/>
          <w:lang w:val="en-US" w:eastAsia="zh-CN"/>
        </w:rPr>
        <w:t>3.6.4特殊作业及其它检维修作业</w:t>
      </w:r>
      <w:bookmarkEnd w:id="307"/>
      <w:bookmarkEnd w:id="308"/>
      <w:bookmarkEnd w:id="309"/>
      <w:bookmarkEnd w:id="310"/>
    </w:p>
    <w:p w14:paraId="3B568C28">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3.6.4.1受限空间作业</w:t>
      </w:r>
    </w:p>
    <w:p w14:paraId="09927FA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储油罐罐内属于受限空间（有限空间），进入油罐内清洗、维修维护等作业属于受限空间作业。若进入油罐作业前，未严格执行受限空间作业的有关规定，即未落实通风、检测、监护及配备相关应急装备，就盲目进入油罐内，可能会引起中毒、窒息事故。若油品蒸汽与空气混合后处于爆炸范围内，</w:t>
      </w:r>
    </w:p>
    <w:p w14:paraId="7668EA14">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还可能会引起油罐火灾、爆炸事故。</w:t>
      </w:r>
    </w:p>
    <w:p w14:paraId="54305656">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3.6.4.2高处作业</w:t>
      </w:r>
    </w:p>
    <w:p w14:paraId="27D8B6F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在距坠落基准面2m及2m以上有可能坠落的高处进行的作业，称为高处作业。检维修加油机罩棚、站房屋面等，属于高处作业，若未采取防范措施，可能会造成高处坠落事故。</w:t>
      </w:r>
    </w:p>
    <w:p w14:paraId="3D66E548">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3.6.4.3动火作业</w:t>
      </w:r>
    </w:p>
    <w:p w14:paraId="19414B4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加油站加油区（油罐区）、卸油区属于存在易燃易爆物质的场所，在这些区域内动火，属于一级动火作业；在油罐内动火，属于特殊动火作业。若未按特殊作业的相关规定，采取相应的安全措施，就盲目进行作业，就可能发生火灾、爆炸事故。</w:t>
      </w:r>
    </w:p>
    <w:p w14:paraId="36D71D22">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3.6.4.4临时用电作业</w:t>
      </w:r>
    </w:p>
    <w:p w14:paraId="1974F23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在正式运行的电源上所搭接的非永久性用电，称为临时用电。在进行临时用电作业时，未执行挂牌的安全规定和未采取相应的安全措施，可能会造成触电伤害事故，甚至可能造成停电，影响正常经营。</w:t>
      </w:r>
    </w:p>
    <w:p w14:paraId="158CA236">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bCs/>
          <w:color w:val="auto"/>
          <w:kern w:val="0"/>
          <w:sz w:val="28"/>
          <w:szCs w:val="28"/>
          <w:lang w:val="en-US" w:eastAsia="zh-CN"/>
        </w:rPr>
      </w:pPr>
      <w:r>
        <w:rPr>
          <w:rFonts w:hint="default" w:ascii="宋体" w:hAnsi="宋体" w:eastAsia="宋体" w:cs="宋体"/>
          <w:b/>
          <w:bCs/>
          <w:color w:val="auto"/>
          <w:kern w:val="0"/>
          <w:sz w:val="28"/>
          <w:szCs w:val="28"/>
          <w:lang w:val="en-US" w:eastAsia="zh-CN"/>
        </w:rPr>
        <w:t>3.6.4.5其它检维修作业</w:t>
      </w:r>
    </w:p>
    <w:p w14:paraId="45CF7DE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（1）检维修加油机时，若未断电或者检修时突然启动加油机，可能会造成触电等事故；</w:t>
      </w:r>
    </w:p>
    <w:p w14:paraId="20DA556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（2）在清洗加油机过滤网、检修输油管道法兰等，可能造成油品泄漏</w:t>
      </w:r>
      <w:r>
        <w:rPr>
          <w:rFonts w:hint="eastAsia" w:ascii="宋体" w:hAnsi="宋体" w:eastAsia="宋体" w:cs="宋体"/>
          <w:b w:val="0"/>
          <w:bCs w:val="0"/>
          <w:color w:val="auto"/>
          <w:kern w:val="0"/>
          <w:sz w:val="28"/>
          <w:szCs w:val="28"/>
          <w:lang w:val="en-US" w:eastAsia="zh-CN"/>
        </w:rPr>
        <w:t>；</w:t>
      </w:r>
    </w:p>
    <w:p w14:paraId="1F105F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（3）在爆炸危险区域内检修作业，未使用防爆工具，在检修中可能会产生碰击火花等，导致火灾、爆炸等事故。</w:t>
      </w:r>
    </w:p>
    <w:p w14:paraId="473DD1B1">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11" w:name="_Toc23628"/>
      <w:bookmarkStart w:id="312" w:name="_Toc20141"/>
      <w:bookmarkStart w:id="313" w:name="_Toc19393"/>
      <w:bookmarkStart w:id="314" w:name="_Toc1601"/>
      <w:r>
        <w:rPr>
          <w:rFonts w:hint="eastAsia" w:ascii="宋体" w:hAnsi="宋体" w:eastAsia="宋体" w:cs="宋体"/>
          <w:b/>
          <w:smallCaps/>
          <w:color w:val="auto"/>
          <w:kern w:val="0"/>
          <w:szCs w:val="20"/>
          <w:lang w:val="en-US" w:eastAsia="zh-CN"/>
        </w:rPr>
        <w:t>3.7加油站防爆区域划分</w:t>
      </w:r>
      <w:bookmarkEnd w:id="311"/>
      <w:bookmarkEnd w:id="312"/>
      <w:bookmarkEnd w:id="313"/>
      <w:bookmarkEnd w:id="314"/>
    </w:p>
    <w:p w14:paraId="76F95B4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根据《汽车加油加气加氢站技术标准》（GB50156-2021）的规定，加油站的危险区域一般划分为爆炸危险区域、火灾危险区域和一般用电区域。分为0区（连续出现或长期出现爆炸性气体混合物的环境）、1区（在正常运行时可能出现爆炸性气体混合物的环境）和2区（在正常运行时不可能出现爆炸性气体混合物的环境，或即使出现也仅是短时存在的爆炸性气体混合物的环境）。</w:t>
      </w:r>
    </w:p>
    <w:p w14:paraId="382579F9">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315" w:name="_Toc15778"/>
      <w:bookmarkStart w:id="316" w:name="_Toc19068"/>
      <w:bookmarkStart w:id="317" w:name="_Toc31064"/>
      <w:bookmarkStart w:id="318" w:name="_Toc4052"/>
      <w:r>
        <w:rPr>
          <w:rFonts w:hint="eastAsia" w:ascii="宋体" w:hAnsi="宋体" w:eastAsia="宋体" w:cs="宋体"/>
          <w:b/>
          <w:sz w:val="30"/>
          <w:szCs w:val="30"/>
          <w:lang w:val="en-US" w:eastAsia="zh-CN"/>
        </w:rPr>
        <w:t>3.7.1埋地卧式储罐爆炸危险区域划分</w:t>
      </w:r>
      <w:bookmarkEnd w:id="315"/>
      <w:bookmarkEnd w:id="316"/>
      <w:bookmarkEnd w:id="317"/>
      <w:bookmarkEnd w:id="318"/>
    </w:p>
    <w:p w14:paraId="0C82254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该加油站设置了汽油卸油油气回收装置，其汽油爆炸危险区域划分规定</w:t>
      </w:r>
    </w:p>
    <w:p w14:paraId="49F4F120">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如下。</w:t>
      </w:r>
    </w:p>
    <w:p w14:paraId="03318AC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（1）罐内部的液体表面以上的空间划为0区。</w:t>
      </w:r>
    </w:p>
    <w:p w14:paraId="1E4C53B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（2）人孔（阀）井（操作井）内部空间、以通气管管口为中心，半径为0.75m的球形空间和以密闭卸油口（卸油井）为中心，半径为0.5m的球形空间，应划分为1区。</w:t>
      </w:r>
    </w:p>
    <w:p w14:paraId="6B715E6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（3）距操作井（人孔（阀）井）外边缘1.5m以内，自地面算起1m高的圆柱形空间、以通气管管口为中心，半径为2m的球形空间和以密闭卸油口（卸油井）为中心，半径为1.5m的球形并延至地面的空间，应划分为2区。</w:t>
      </w:r>
    </w:p>
    <w:p w14:paraId="5A4C72B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划分区域见图3.7-1埋地油罐防爆区域划分图</w:t>
      </w:r>
      <w:r>
        <w:rPr>
          <w:rFonts w:hint="eastAsia" w:ascii="宋体" w:hAnsi="宋体" w:eastAsia="宋体" w:cs="宋体"/>
          <w:b w:val="0"/>
          <w:bCs w:val="0"/>
          <w:color w:val="auto"/>
          <w:kern w:val="0"/>
          <w:sz w:val="28"/>
          <w:szCs w:val="28"/>
          <w:lang w:val="en-US" w:eastAsia="zh-CN"/>
        </w:rPr>
        <w:t>。</w:t>
      </w:r>
    </w:p>
    <w:p w14:paraId="15D17CCD">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5230F48E">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653C256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5BA183A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3535A73B">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5EEC9F89">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1E05EFE4">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rPr>
          <w:rFonts w:hint="eastAsia" w:ascii="宋体" w:hAnsi="宋体" w:eastAsia="宋体" w:cs="宋体"/>
          <w:b w:val="0"/>
          <w:bCs w:val="0"/>
          <w:color w:val="auto"/>
          <w:kern w:val="0"/>
          <w:sz w:val="24"/>
          <w:szCs w:val="24"/>
          <w:lang w:val="en-US" w:eastAsia="zh-CN"/>
        </w:rPr>
      </w:pPr>
    </w:p>
    <w:p w14:paraId="325C6378">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宋体" w:hAnsi="宋体" w:eastAsia="宋体" w:cs="宋体"/>
          <w:b w:val="0"/>
          <w:bCs w:val="0"/>
          <w:color w:val="auto"/>
          <w:kern w:val="0"/>
          <w:sz w:val="24"/>
          <w:szCs w:val="24"/>
          <w:lang w:val="en-US" w:eastAsia="zh-CN"/>
        </w:rPr>
      </w:pPr>
      <w:r>
        <w:rPr>
          <w:position w:val="-115"/>
        </w:rPr>
        <w:drawing>
          <wp:anchor distT="0" distB="0" distL="0" distR="0" simplePos="0" relativeHeight="251664384" behindDoc="0" locked="0" layoutInCell="1" allowOverlap="1">
            <wp:simplePos x="0" y="0"/>
            <wp:positionH relativeFrom="column">
              <wp:align>center</wp:align>
            </wp:positionH>
            <wp:positionV relativeFrom="paragraph">
              <wp:posOffset>10795</wp:posOffset>
            </wp:positionV>
            <wp:extent cx="3273425" cy="2774950"/>
            <wp:effectExtent l="0" t="0" r="3175" b="13970"/>
            <wp:wrapTopAndBottom/>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8"/>
                    <a:stretch>
                      <a:fillRect/>
                    </a:stretch>
                  </pic:blipFill>
                  <pic:spPr>
                    <a:xfrm>
                      <a:off x="0" y="0"/>
                      <a:ext cx="3273425" cy="2774950"/>
                    </a:xfrm>
                    <a:prstGeom prst="rect">
                      <a:avLst/>
                    </a:prstGeom>
                  </pic:spPr>
                </pic:pic>
              </a:graphicData>
            </a:graphic>
          </wp:anchor>
        </w:drawing>
      </w:r>
      <w:r>
        <w:rPr>
          <w:rFonts w:hint="eastAsia" w:ascii="宋体" w:hAnsi="宋体" w:eastAsia="宋体" w:cs="宋体"/>
          <w:b w:val="0"/>
          <w:bCs w:val="0"/>
          <w:color w:val="auto"/>
          <w:kern w:val="0"/>
          <w:sz w:val="24"/>
          <w:szCs w:val="24"/>
          <w:lang w:val="en-US" w:eastAsia="zh-CN"/>
        </w:rPr>
        <w:t>图3-1</w:t>
      </w:r>
      <w:r>
        <w:rPr>
          <w:rFonts w:hint="default" w:ascii="宋体" w:hAnsi="宋体" w:eastAsia="宋体" w:cs="宋体"/>
          <w:b w:val="0"/>
          <w:bCs w:val="0"/>
          <w:color w:val="auto"/>
          <w:kern w:val="0"/>
          <w:sz w:val="24"/>
          <w:szCs w:val="24"/>
          <w:lang w:val="en-US" w:eastAsia="zh-CN"/>
        </w:rPr>
        <w:t>埋地油罐防爆区域划分图</w:t>
      </w:r>
    </w:p>
    <w:p w14:paraId="69E3C13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该加油站油罐内液体上部无电器设备。油罐操作井内安装有潜油泵，潜油泵属于</w:t>
      </w:r>
      <w:r>
        <w:rPr>
          <w:rFonts w:hint="eastAsia" w:ascii="宋体" w:hAnsi="宋体" w:eastAsia="宋体" w:cs="宋体"/>
          <w:b w:val="0"/>
          <w:bCs w:val="0"/>
          <w:color w:val="auto"/>
          <w:kern w:val="0"/>
          <w:sz w:val="28"/>
          <w:szCs w:val="28"/>
          <w:lang w:val="en-US" w:eastAsia="zh-CN"/>
        </w:rPr>
        <w:t>电气设备</w:t>
      </w:r>
      <w:r>
        <w:rPr>
          <w:rFonts w:hint="default" w:ascii="宋体" w:hAnsi="宋体" w:eastAsia="宋体" w:cs="宋体"/>
          <w:b w:val="0"/>
          <w:bCs w:val="0"/>
          <w:color w:val="auto"/>
          <w:kern w:val="0"/>
          <w:sz w:val="28"/>
          <w:szCs w:val="28"/>
          <w:lang w:val="en-US" w:eastAsia="zh-CN"/>
        </w:rPr>
        <w:t>。卸油井旁1.5m外设置了静电接地桩和人体静电释放柱，在2区外。站房及站外建筑物与罐区的通气管、操作井、卸油口的距离较远，均在爆炸危险区域之外。</w:t>
      </w:r>
    </w:p>
    <w:p w14:paraId="7C124401">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jc w:val="both"/>
        <w:textAlignment w:val="auto"/>
        <w:rPr>
          <w:rFonts w:hint="eastAsia" w:ascii="宋体" w:hAnsi="宋体" w:eastAsia="宋体" w:cs="宋体"/>
          <w:b/>
          <w:sz w:val="30"/>
          <w:szCs w:val="30"/>
          <w:lang w:val="en-US" w:eastAsia="zh-CN"/>
        </w:rPr>
      </w:pPr>
      <w:bookmarkStart w:id="319" w:name="_Toc18787"/>
      <w:bookmarkStart w:id="320" w:name="_Toc3919"/>
      <w:bookmarkStart w:id="321" w:name="_Toc12809"/>
      <w:bookmarkStart w:id="322" w:name="_Toc25636"/>
      <w:r>
        <w:rPr>
          <w:rFonts w:hint="eastAsia" w:ascii="宋体" w:hAnsi="宋体" w:eastAsia="宋体" w:cs="宋体"/>
          <w:b/>
          <w:sz w:val="30"/>
          <w:szCs w:val="30"/>
          <w:lang w:val="en-US" w:eastAsia="zh-CN"/>
        </w:rPr>
        <w:t>3.7.2加油机爆炸危险区域划分</w:t>
      </w:r>
      <w:bookmarkEnd w:id="319"/>
      <w:bookmarkEnd w:id="320"/>
      <w:bookmarkEnd w:id="321"/>
      <w:bookmarkEnd w:id="322"/>
    </w:p>
    <w:p w14:paraId="75C14F3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该加油站加油系统设置了汽油加油油气回收装置，其加油机的爆炸危险区域划分如下。</w:t>
      </w:r>
    </w:p>
    <w:p w14:paraId="7E17DC7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（1）加油机</w:t>
      </w:r>
      <w:r>
        <w:rPr>
          <w:rFonts w:hint="eastAsia" w:ascii="宋体" w:hAnsi="宋体" w:eastAsia="宋体" w:cs="宋体"/>
          <w:b w:val="0"/>
          <w:bCs w:val="0"/>
          <w:color w:val="auto"/>
          <w:kern w:val="0"/>
          <w:sz w:val="28"/>
          <w:szCs w:val="28"/>
          <w:lang w:val="en-US" w:eastAsia="zh-CN"/>
        </w:rPr>
        <w:t>下箱体</w:t>
      </w:r>
      <w:r>
        <w:rPr>
          <w:rFonts w:hint="default" w:ascii="宋体" w:hAnsi="宋体" w:eastAsia="宋体" w:cs="宋体"/>
          <w:b w:val="0"/>
          <w:bCs w:val="0"/>
          <w:color w:val="auto"/>
          <w:kern w:val="0"/>
          <w:sz w:val="28"/>
          <w:szCs w:val="28"/>
          <w:lang w:val="en-US" w:eastAsia="zh-CN"/>
        </w:rPr>
        <w:t>内部空间应划分为1区。</w:t>
      </w:r>
    </w:p>
    <w:p w14:paraId="73A7C6E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（2）以加油机中心线为中心线，以半径为3m的地面区域为底面和以加油机顶部以上0.15m半径为1.5m的平面为顶面的圆台形空间，应划分为2区。</w:t>
      </w:r>
    </w:p>
    <w:p w14:paraId="2CD0D3B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（3）危险区域内的沟道应用黄沙充填，否则与此沟道相连的区域也视</w:t>
      </w:r>
    </w:p>
    <w:p w14:paraId="757FFE74">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同区域。</w:t>
      </w:r>
    </w:p>
    <w:p w14:paraId="53972E5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划分区域见图</w:t>
      </w:r>
      <w:r>
        <w:rPr>
          <w:rFonts w:hint="eastAsia" w:ascii="宋体" w:hAnsi="宋体" w:eastAsia="宋体" w:cs="宋体"/>
          <w:b w:val="0"/>
          <w:bCs w:val="0"/>
          <w:color w:val="auto"/>
          <w:kern w:val="0"/>
          <w:sz w:val="28"/>
          <w:szCs w:val="28"/>
          <w:lang w:val="en-US" w:eastAsia="zh-CN"/>
        </w:rPr>
        <w:t>3</w:t>
      </w:r>
      <w:r>
        <w:rPr>
          <w:rFonts w:hint="default" w:ascii="宋体" w:hAnsi="宋体" w:eastAsia="宋体" w:cs="宋体"/>
          <w:b w:val="0"/>
          <w:bCs w:val="0"/>
          <w:color w:val="auto"/>
          <w:kern w:val="0"/>
          <w:sz w:val="28"/>
          <w:szCs w:val="28"/>
          <w:lang w:val="en-US" w:eastAsia="zh-CN"/>
        </w:rPr>
        <w:t>-2加油机防爆区域划分图。</w:t>
      </w:r>
    </w:p>
    <w:p w14:paraId="3F21C7D3">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3827B5C5">
      <w:pPr>
        <w:keepNext w:val="0"/>
        <w:keepLines w:val="0"/>
        <w:pageBreakBefore w:val="0"/>
        <w:widowControl w:val="0"/>
        <w:kinsoku/>
        <w:wordWrap/>
        <w:overflowPunct/>
        <w:topLinePunct w:val="0"/>
        <w:autoSpaceDE/>
        <w:autoSpaceDN/>
        <w:bidi w:val="0"/>
        <w:adjustRightInd w:val="0"/>
        <w:snapToGrid w:val="0"/>
        <w:spacing w:line="520" w:lineRule="exact"/>
        <w:ind w:firstLine="420" w:firstLineChars="200"/>
        <w:jc w:val="left"/>
        <w:textAlignment w:val="auto"/>
        <w:rPr>
          <w:rFonts w:hint="default" w:ascii="宋体" w:hAnsi="宋体" w:eastAsia="宋体" w:cs="宋体"/>
          <w:b w:val="0"/>
          <w:bCs w:val="0"/>
          <w:color w:val="auto"/>
          <w:kern w:val="0"/>
          <w:sz w:val="28"/>
          <w:szCs w:val="28"/>
          <w:lang w:val="en-US" w:eastAsia="zh-CN"/>
        </w:rPr>
      </w:pPr>
      <w:r>
        <w:drawing>
          <wp:anchor distT="0" distB="0" distL="114300" distR="114300" simplePos="0" relativeHeight="251665408" behindDoc="1" locked="0" layoutInCell="1" allowOverlap="1">
            <wp:simplePos x="0" y="0"/>
            <wp:positionH relativeFrom="column">
              <wp:align>center</wp:align>
            </wp:positionH>
            <wp:positionV relativeFrom="paragraph">
              <wp:posOffset>-6985</wp:posOffset>
            </wp:positionV>
            <wp:extent cx="2903220" cy="2674620"/>
            <wp:effectExtent l="0" t="0" r="7620" b="38100"/>
            <wp:wrapTight wrapText="bothSides">
              <wp:wrapPolygon>
                <wp:start x="0" y="0"/>
                <wp:lineTo x="0" y="21538"/>
                <wp:lineTo x="21543" y="21538"/>
                <wp:lineTo x="21543" y="0"/>
                <wp:lineTo x="0" y="0"/>
              </wp:wrapPolygon>
            </wp:wrapTight>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9"/>
                    <a:stretch>
                      <a:fillRect/>
                    </a:stretch>
                  </pic:blipFill>
                  <pic:spPr>
                    <a:xfrm>
                      <a:off x="0" y="0"/>
                      <a:ext cx="2903220" cy="2674620"/>
                    </a:xfrm>
                    <a:prstGeom prst="rect">
                      <a:avLst/>
                    </a:prstGeom>
                    <a:noFill/>
                    <a:ln>
                      <a:noFill/>
                    </a:ln>
                  </pic:spPr>
                </pic:pic>
              </a:graphicData>
            </a:graphic>
          </wp:anchor>
        </w:drawing>
      </w:r>
    </w:p>
    <w:p w14:paraId="49C14BC6">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1538E1B3">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4FE2AD8F">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default" w:ascii="宋体" w:hAnsi="宋体" w:eastAsia="宋体" w:cs="宋体"/>
          <w:b w:val="0"/>
          <w:bCs w:val="0"/>
          <w:color w:val="auto"/>
          <w:kern w:val="0"/>
          <w:sz w:val="28"/>
          <w:szCs w:val="28"/>
          <w:lang w:val="en-US" w:eastAsia="zh-CN"/>
        </w:rPr>
      </w:pPr>
    </w:p>
    <w:p w14:paraId="463B30AA">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76357F3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17355910">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157F2856">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rPr>
          <w:rFonts w:hint="default" w:ascii="宋体" w:hAnsi="宋体" w:eastAsia="宋体" w:cs="宋体"/>
          <w:b w:val="0"/>
          <w:bCs w:val="0"/>
          <w:color w:val="auto"/>
          <w:kern w:val="0"/>
          <w:sz w:val="24"/>
          <w:szCs w:val="24"/>
          <w:lang w:val="en-US" w:eastAsia="zh-CN"/>
        </w:rPr>
      </w:pPr>
    </w:p>
    <w:p w14:paraId="35FC226D">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宋体" w:hAnsi="宋体" w:eastAsia="宋体" w:cs="宋体"/>
          <w:b w:val="0"/>
          <w:bCs w:val="0"/>
          <w:color w:val="auto"/>
          <w:kern w:val="0"/>
          <w:sz w:val="24"/>
          <w:szCs w:val="24"/>
          <w:lang w:val="en-US" w:eastAsia="zh-CN"/>
        </w:rPr>
      </w:pPr>
      <w:r>
        <w:rPr>
          <w:rFonts w:hint="default" w:ascii="宋体" w:hAnsi="宋体" w:eastAsia="宋体" w:cs="宋体"/>
          <w:b w:val="0"/>
          <w:bCs w:val="0"/>
          <w:color w:val="auto"/>
          <w:kern w:val="0"/>
          <w:sz w:val="24"/>
          <w:szCs w:val="24"/>
          <w:lang w:val="en-US" w:eastAsia="zh-CN"/>
        </w:rPr>
        <w:t>图</w:t>
      </w:r>
      <w:r>
        <w:rPr>
          <w:rFonts w:hint="eastAsia" w:ascii="宋体" w:hAnsi="宋体" w:eastAsia="宋体" w:cs="宋体"/>
          <w:b w:val="0"/>
          <w:bCs w:val="0"/>
          <w:color w:val="auto"/>
          <w:kern w:val="0"/>
          <w:sz w:val="24"/>
          <w:szCs w:val="24"/>
          <w:lang w:val="en-US" w:eastAsia="zh-CN"/>
        </w:rPr>
        <w:t>3</w:t>
      </w:r>
      <w:r>
        <w:rPr>
          <w:rFonts w:hint="default" w:ascii="宋体" w:hAnsi="宋体" w:eastAsia="宋体" w:cs="宋体"/>
          <w:b w:val="0"/>
          <w:bCs w:val="0"/>
          <w:color w:val="auto"/>
          <w:kern w:val="0"/>
          <w:sz w:val="24"/>
          <w:szCs w:val="24"/>
          <w:lang w:val="en-US" w:eastAsia="zh-CN"/>
        </w:rPr>
        <w:t>-2加油机防爆区域划分图</w:t>
      </w:r>
    </w:p>
    <w:p w14:paraId="329D3CB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该加油站加油机距离站房距离发配电房较远，均不在加油机的防爆区域内。</w:t>
      </w:r>
    </w:p>
    <w:p w14:paraId="5F9EEE17">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323" w:name="_Toc3542"/>
      <w:bookmarkStart w:id="324" w:name="_Toc4837"/>
      <w:bookmarkStart w:id="325" w:name="_Toc27736"/>
      <w:bookmarkStart w:id="326" w:name="_Toc25856"/>
      <w:r>
        <w:rPr>
          <w:rFonts w:hint="eastAsia" w:ascii="宋体" w:hAnsi="宋体" w:eastAsia="宋体" w:cs="宋体"/>
          <w:b/>
          <w:sz w:val="30"/>
          <w:szCs w:val="30"/>
          <w:lang w:val="en-US" w:eastAsia="zh-CN"/>
        </w:rPr>
        <w:t>3.7.3卸油过程中的爆炸危险区域划分</w:t>
      </w:r>
      <w:bookmarkEnd w:id="323"/>
      <w:bookmarkEnd w:id="324"/>
      <w:bookmarkEnd w:id="325"/>
      <w:bookmarkEnd w:id="326"/>
    </w:p>
    <w:p w14:paraId="055255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该加油站采用密闭卸油工艺，其油罐车卸油时的爆炸危险区域划分规定如下。</w:t>
      </w:r>
    </w:p>
    <w:p w14:paraId="2EF3024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（1）油罐车内部的油品表面以上空间应划分为0区。</w:t>
      </w:r>
    </w:p>
    <w:p w14:paraId="2008E5F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（2）以通气口为中心，半径为1.5m的球形空间和以密闭卸油口</w:t>
      </w:r>
      <w:r>
        <w:rPr>
          <w:rFonts w:hint="eastAsia" w:ascii="宋体" w:hAnsi="宋体" w:eastAsia="宋体" w:cs="宋体"/>
          <w:b w:val="0"/>
          <w:bCs w:val="0"/>
          <w:color w:val="auto"/>
          <w:kern w:val="0"/>
          <w:sz w:val="28"/>
          <w:szCs w:val="28"/>
          <w:lang w:val="en-US" w:eastAsia="zh-CN"/>
        </w:rPr>
        <w:t>为中</w:t>
      </w:r>
      <w:r>
        <w:rPr>
          <w:rFonts w:hint="default" w:ascii="宋体" w:hAnsi="宋体" w:eastAsia="宋体" w:cs="宋体"/>
          <w:b w:val="0"/>
          <w:bCs w:val="0"/>
          <w:color w:val="auto"/>
          <w:kern w:val="0"/>
          <w:sz w:val="28"/>
          <w:szCs w:val="28"/>
          <w:lang w:val="en-US" w:eastAsia="zh-CN"/>
        </w:rPr>
        <w:t>心</w:t>
      </w:r>
      <w:r>
        <w:rPr>
          <w:rFonts w:hint="eastAsia" w:ascii="宋体" w:hAnsi="宋体" w:eastAsia="宋体" w:cs="宋体"/>
          <w:b w:val="0"/>
          <w:bCs w:val="0"/>
          <w:color w:val="auto"/>
          <w:kern w:val="0"/>
          <w:sz w:val="28"/>
          <w:szCs w:val="28"/>
          <w:lang w:val="en-US" w:eastAsia="zh-CN"/>
        </w:rPr>
        <w:t>，</w:t>
      </w:r>
      <w:r>
        <w:rPr>
          <w:rFonts w:hint="default" w:ascii="宋体" w:hAnsi="宋体" w:eastAsia="宋体" w:cs="宋体"/>
          <w:b w:val="0"/>
          <w:bCs w:val="0"/>
          <w:color w:val="auto"/>
          <w:kern w:val="0"/>
          <w:sz w:val="28"/>
          <w:szCs w:val="28"/>
          <w:lang w:val="en-US" w:eastAsia="zh-CN"/>
        </w:rPr>
        <w:t>半径为0.5m的球形空间，应划分为1区。</w:t>
      </w:r>
    </w:p>
    <w:p w14:paraId="566BFCF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（3）以通气口为中心，半径为3m的球形并延至地面的空间和以密闭卸油口为中心，半径为1.5m的球形并延至地面的空间，应划分为2区。</w:t>
      </w:r>
    </w:p>
    <w:p w14:paraId="25D1B43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划分区域见图</w:t>
      </w:r>
      <w:r>
        <w:rPr>
          <w:rFonts w:hint="eastAsia" w:ascii="宋体" w:hAnsi="宋体" w:eastAsia="宋体" w:cs="宋体"/>
          <w:b w:val="0"/>
          <w:bCs w:val="0"/>
          <w:color w:val="auto"/>
          <w:kern w:val="0"/>
          <w:sz w:val="28"/>
          <w:szCs w:val="28"/>
          <w:lang w:val="en-US" w:eastAsia="zh-CN"/>
        </w:rPr>
        <w:t>3</w:t>
      </w:r>
      <w:r>
        <w:rPr>
          <w:rFonts w:hint="default" w:ascii="宋体" w:hAnsi="宋体" w:eastAsia="宋体" w:cs="宋体"/>
          <w:b w:val="0"/>
          <w:bCs w:val="0"/>
          <w:color w:val="auto"/>
          <w:kern w:val="0"/>
          <w:sz w:val="28"/>
          <w:szCs w:val="28"/>
          <w:lang w:val="en-US" w:eastAsia="zh-CN"/>
        </w:rPr>
        <w:t>-</w:t>
      </w:r>
      <w:r>
        <w:rPr>
          <w:rFonts w:hint="eastAsia" w:ascii="宋体" w:hAnsi="宋体" w:eastAsia="宋体" w:cs="宋体"/>
          <w:b w:val="0"/>
          <w:bCs w:val="0"/>
          <w:color w:val="auto"/>
          <w:kern w:val="0"/>
          <w:sz w:val="28"/>
          <w:szCs w:val="28"/>
          <w:lang w:val="en-US" w:eastAsia="zh-CN"/>
        </w:rPr>
        <w:t>3</w:t>
      </w:r>
      <w:r>
        <w:rPr>
          <w:rFonts w:hint="default" w:ascii="宋体" w:hAnsi="宋体" w:eastAsia="宋体" w:cs="宋体"/>
          <w:b w:val="0"/>
          <w:bCs w:val="0"/>
          <w:color w:val="auto"/>
          <w:kern w:val="0"/>
          <w:sz w:val="28"/>
          <w:szCs w:val="28"/>
          <w:lang w:val="en-US" w:eastAsia="zh-CN"/>
        </w:rPr>
        <w:t>汽车油罐车和密闭卸油口爆炸危险区域划分</w:t>
      </w:r>
      <w:r>
        <w:rPr>
          <w:rFonts w:hint="eastAsia" w:ascii="宋体" w:hAnsi="宋体" w:eastAsia="宋体" w:cs="宋体"/>
          <w:b w:val="0"/>
          <w:bCs w:val="0"/>
          <w:color w:val="auto"/>
          <w:kern w:val="0"/>
          <w:sz w:val="28"/>
          <w:szCs w:val="28"/>
          <w:lang w:val="en-US" w:eastAsia="zh-CN"/>
        </w:rPr>
        <w:t>图</w:t>
      </w:r>
      <w:r>
        <w:rPr>
          <w:rFonts w:hint="default" w:ascii="宋体" w:hAnsi="宋体" w:eastAsia="宋体" w:cs="宋体"/>
          <w:b w:val="0"/>
          <w:bCs w:val="0"/>
          <w:color w:val="auto"/>
          <w:kern w:val="0"/>
          <w:sz w:val="28"/>
          <w:szCs w:val="28"/>
          <w:lang w:val="en-US" w:eastAsia="zh-CN"/>
        </w:rPr>
        <w:t>。</w:t>
      </w:r>
    </w:p>
    <w:p w14:paraId="5274BC1E">
      <w:pPr>
        <w:keepNext w:val="0"/>
        <w:keepLines w:val="0"/>
        <w:pageBreakBefore w:val="0"/>
        <w:widowControl w:val="0"/>
        <w:tabs>
          <w:tab w:val="left" w:pos="756"/>
        </w:tabs>
        <w:kinsoku/>
        <w:wordWrap/>
        <w:overflowPunct/>
        <w:topLinePunct w:val="0"/>
        <w:autoSpaceDE/>
        <w:autoSpaceDN/>
        <w:bidi w:val="0"/>
        <w:adjustRightInd/>
        <w:snapToGrid/>
        <w:spacing w:line="600" w:lineRule="exact"/>
        <w:jc w:val="both"/>
        <w:textAlignment w:val="auto"/>
        <w:rPr>
          <w:position w:val="-104"/>
        </w:rPr>
      </w:pPr>
    </w:p>
    <w:p w14:paraId="7799D11E">
      <w:pPr>
        <w:bidi w:val="0"/>
        <w:rPr>
          <w:rFonts w:hint="eastAsia" w:ascii="Times New Roman" w:hAnsi="Times New Roman" w:eastAsia="宋体" w:cs="Times New Roman"/>
          <w:kern w:val="2"/>
          <w:sz w:val="21"/>
          <w:szCs w:val="24"/>
          <w:lang w:val="en-US" w:eastAsia="zh-CN" w:bidi="ar-SA"/>
        </w:rPr>
      </w:pPr>
    </w:p>
    <w:p w14:paraId="69122494">
      <w:pPr>
        <w:bidi w:val="0"/>
        <w:rPr>
          <w:rFonts w:hint="eastAsia"/>
          <w:lang w:val="en-US" w:eastAsia="zh-CN"/>
        </w:rPr>
      </w:pPr>
    </w:p>
    <w:p w14:paraId="0A0AA185">
      <w:pPr>
        <w:bidi w:val="0"/>
        <w:rPr>
          <w:rFonts w:hint="eastAsia"/>
          <w:lang w:val="en-US" w:eastAsia="zh-CN"/>
        </w:rPr>
      </w:pPr>
    </w:p>
    <w:p w14:paraId="71462F06">
      <w:pPr>
        <w:bidi w:val="0"/>
        <w:rPr>
          <w:rFonts w:hint="eastAsia"/>
          <w:lang w:val="en-US" w:eastAsia="zh-CN"/>
        </w:rPr>
      </w:pPr>
    </w:p>
    <w:p w14:paraId="128AD2D6">
      <w:pPr>
        <w:bidi w:val="0"/>
        <w:rPr>
          <w:rFonts w:hint="eastAsia"/>
          <w:lang w:val="en-US" w:eastAsia="zh-CN"/>
        </w:rPr>
      </w:pPr>
    </w:p>
    <w:p w14:paraId="46CA144A">
      <w:pPr>
        <w:bidi w:val="0"/>
        <w:rPr>
          <w:rFonts w:hint="eastAsia"/>
          <w:lang w:val="en-US" w:eastAsia="zh-CN"/>
        </w:rPr>
      </w:pPr>
    </w:p>
    <w:p w14:paraId="3ECC95C6">
      <w:pPr>
        <w:bidi w:val="0"/>
        <w:rPr>
          <w:rFonts w:hint="eastAsia"/>
          <w:lang w:val="en-US" w:eastAsia="zh-CN"/>
        </w:rPr>
      </w:pPr>
    </w:p>
    <w:p w14:paraId="359C5471">
      <w:pPr>
        <w:bidi w:val="0"/>
        <w:rPr>
          <w:rFonts w:hint="eastAsia"/>
          <w:lang w:val="en-US" w:eastAsia="zh-CN"/>
        </w:rPr>
      </w:pPr>
      <w:r>
        <w:rPr>
          <w:position w:val="-104"/>
        </w:rPr>
        <w:drawing>
          <wp:anchor distT="0" distB="0" distL="0" distR="0" simplePos="0" relativeHeight="251666432" behindDoc="0" locked="0" layoutInCell="1" allowOverlap="1">
            <wp:simplePos x="0" y="0"/>
            <wp:positionH relativeFrom="column">
              <wp:align>center</wp:align>
            </wp:positionH>
            <wp:positionV relativeFrom="paragraph">
              <wp:posOffset>194310</wp:posOffset>
            </wp:positionV>
            <wp:extent cx="4152900" cy="2604135"/>
            <wp:effectExtent l="0" t="0" r="7620" b="1905"/>
            <wp:wrapTopAndBottom/>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0"/>
                    <a:srcRect t="8462" b="9757"/>
                    <a:stretch>
                      <a:fillRect/>
                    </a:stretch>
                  </pic:blipFill>
                  <pic:spPr>
                    <a:xfrm>
                      <a:off x="0" y="0"/>
                      <a:ext cx="4152900" cy="2604135"/>
                    </a:xfrm>
                    <a:prstGeom prst="rect">
                      <a:avLst/>
                    </a:prstGeom>
                  </pic:spPr>
                </pic:pic>
              </a:graphicData>
            </a:graphic>
          </wp:anchor>
        </w:drawing>
      </w:r>
    </w:p>
    <w:p w14:paraId="78AC0FA3">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position w:val="-104"/>
          <w:sz w:val="24"/>
          <w:szCs w:val="24"/>
        </w:rPr>
      </w:pPr>
      <w:r>
        <w:rPr>
          <w:rFonts w:hint="default" w:ascii="宋体" w:hAnsi="宋体" w:eastAsia="宋体" w:cs="宋体"/>
          <w:b w:val="0"/>
          <w:bCs w:val="0"/>
          <w:color w:val="auto"/>
          <w:kern w:val="0"/>
          <w:sz w:val="24"/>
          <w:szCs w:val="24"/>
          <w:lang w:val="en-US" w:eastAsia="zh-CN"/>
        </w:rPr>
        <w:t>图</w:t>
      </w:r>
      <w:r>
        <w:rPr>
          <w:rFonts w:hint="eastAsia" w:ascii="宋体" w:hAnsi="宋体" w:eastAsia="宋体" w:cs="宋体"/>
          <w:b w:val="0"/>
          <w:bCs w:val="0"/>
          <w:color w:val="auto"/>
          <w:kern w:val="0"/>
          <w:sz w:val="24"/>
          <w:szCs w:val="24"/>
          <w:lang w:val="en-US" w:eastAsia="zh-CN"/>
        </w:rPr>
        <w:t>3</w:t>
      </w:r>
      <w:r>
        <w:rPr>
          <w:rFonts w:hint="default" w:ascii="宋体" w:hAnsi="宋体" w:eastAsia="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w:t>
      </w:r>
      <w:r>
        <w:rPr>
          <w:rFonts w:hint="default" w:ascii="宋体" w:hAnsi="宋体" w:eastAsia="宋体" w:cs="宋体"/>
          <w:b w:val="0"/>
          <w:bCs w:val="0"/>
          <w:color w:val="auto"/>
          <w:kern w:val="0"/>
          <w:sz w:val="24"/>
          <w:szCs w:val="24"/>
          <w:lang w:val="en-US" w:eastAsia="zh-CN"/>
        </w:rPr>
        <w:t>汽车油罐车和密闭卸油口爆炸危险区域划分</w:t>
      </w:r>
      <w:r>
        <w:rPr>
          <w:rFonts w:hint="eastAsia" w:ascii="宋体" w:hAnsi="宋体" w:eastAsia="宋体" w:cs="宋体"/>
          <w:b w:val="0"/>
          <w:bCs w:val="0"/>
          <w:color w:val="auto"/>
          <w:kern w:val="0"/>
          <w:sz w:val="24"/>
          <w:szCs w:val="24"/>
          <w:lang w:val="en-US" w:eastAsia="zh-CN"/>
        </w:rPr>
        <w:t>图</w:t>
      </w:r>
    </w:p>
    <w:p w14:paraId="4DCAC98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该加油站卸油区域在罐池外，卸油口与通气管、站房、站外建筑物的距离均大于3m外，均在爆炸危险区域之外。</w:t>
      </w:r>
    </w:p>
    <w:p w14:paraId="63592C6C">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327" w:name="_Toc18801"/>
      <w:bookmarkStart w:id="328" w:name="_Toc9430"/>
      <w:bookmarkStart w:id="329" w:name="_Toc20790"/>
      <w:bookmarkStart w:id="330" w:name="_Toc4773"/>
      <w:r>
        <w:rPr>
          <w:rFonts w:hint="eastAsia" w:ascii="宋体" w:hAnsi="宋体" w:eastAsia="宋体" w:cs="宋体"/>
          <w:b/>
          <w:smallCaps/>
          <w:color w:val="auto"/>
          <w:kern w:val="0"/>
          <w:sz w:val="32"/>
          <w:szCs w:val="32"/>
          <w:lang w:val="en-US" w:eastAsia="zh-CN"/>
        </w:rPr>
        <w:t>3.8危险化学品重大危险源</w:t>
      </w:r>
      <w:bookmarkEnd w:id="327"/>
      <w:bookmarkEnd w:id="328"/>
      <w:bookmarkEnd w:id="329"/>
      <w:bookmarkEnd w:id="330"/>
    </w:p>
    <w:p w14:paraId="1269A134">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sz w:val="30"/>
          <w:szCs w:val="30"/>
          <w:lang w:val="en-US" w:eastAsia="zh-CN"/>
        </w:rPr>
      </w:pPr>
      <w:bookmarkStart w:id="331" w:name="_Toc9869"/>
      <w:bookmarkStart w:id="332" w:name="_Toc8973"/>
      <w:bookmarkStart w:id="333" w:name="_Toc6232"/>
      <w:bookmarkStart w:id="334" w:name="_Toc23165"/>
      <w:r>
        <w:rPr>
          <w:rFonts w:hint="eastAsia" w:ascii="宋体" w:hAnsi="宋体" w:eastAsia="宋体" w:cs="宋体"/>
          <w:b/>
          <w:sz w:val="30"/>
          <w:szCs w:val="30"/>
          <w:lang w:val="en-US" w:eastAsia="zh-CN"/>
        </w:rPr>
        <w:t>3.8.1辨识依据</w:t>
      </w:r>
      <w:bookmarkEnd w:id="331"/>
      <w:bookmarkEnd w:id="332"/>
      <w:bookmarkEnd w:id="333"/>
      <w:bookmarkEnd w:id="334"/>
    </w:p>
    <w:p w14:paraId="298F31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危险化学品重大危险源辨识依据为《危险化学品重大危险源辨识》（GB18218-2018）。《危险化学品重大危险源辨识》（GB18218-2018）中对危险化学品重大危险源的定义</w:t>
      </w:r>
      <w:r>
        <w:rPr>
          <w:rFonts w:hint="eastAsia" w:ascii="宋体" w:hAnsi="宋体" w:eastAsia="宋体" w:cs="宋体"/>
          <w:b w:val="0"/>
          <w:bCs w:val="0"/>
          <w:color w:val="auto"/>
          <w:kern w:val="0"/>
          <w:sz w:val="28"/>
          <w:szCs w:val="28"/>
          <w:lang w:val="en-US" w:eastAsia="zh-CN"/>
        </w:rPr>
        <w:t>：</w:t>
      </w:r>
      <w:r>
        <w:rPr>
          <w:rFonts w:hint="default" w:ascii="宋体" w:hAnsi="宋体" w:eastAsia="宋体" w:cs="宋体"/>
          <w:b w:val="0"/>
          <w:bCs w:val="0"/>
          <w:color w:val="auto"/>
          <w:kern w:val="0"/>
          <w:sz w:val="28"/>
          <w:szCs w:val="28"/>
          <w:lang w:val="en-US" w:eastAsia="zh-CN"/>
        </w:rPr>
        <w:t>长期或临时生产、储存、使用和经营危险化学品，且危险化学品的数量等于或超过临界量的单元。</w:t>
      </w:r>
    </w:p>
    <w:p w14:paraId="59EA599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危险化学品依据其危险特性及其数量进行重大危险源辨识，具体见《危险化学品重大危险源辨识》（GB18218-2018）中的表1和表2。危险化学品重大危险源可分为生产单元危险化学品重大危险源和储存单元危险化学品重大危险源。</w:t>
      </w:r>
    </w:p>
    <w:p w14:paraId="2D7DBF3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单元内存在危险化学品的数量根据危险化学品种类的多少区分为以下两种情况</w:t>
      </w:r>
      <w:r>
        <w:rPr>
          <w:rFonts w:hint="eastAsia" w:ascii="宋体" w:hAnsi="宋体" w:eastAsia="宋体" w:cs="宋体"/>
          <w:b w:val="0"/>
          <w:bCs w:val="0"/>
          <w:color w:val="auto"/>
          <w:kern w:val="0"/>
          <w:sz w:val="28"/>
          <w:szCs w:val="28"/>
          <w:lang w:val="en-US" w:eastAsia="zh-CN"/>
        </w:rPr>
        <w:t>：</w:t>
      </w:r>
    </w:p>
    <w:p w14:paraId="6F7AF5E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1.生产单元、储存单元内存在的危险化学品为单一品种时，该危险化学品的数量即为单元内危险化学品的总量，若等于或超过相应的临界量，则定为重大危险源。</w:t>
      </w:r>
    </w:p>
    <w:p w14:paraId="4469C16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2.生产单元、储存单元内存在的危险化学品为多品种时，则按下式计算，若满足下面公式，则定为重大危险源：</w:t>
      </w:r>
    </w:p>
    <w:p w14:paraId="3511BCD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drawing>
          <wp:anchor distT="0" distB="0" distL="114300" distR="114300" simplePos="0" relativeHeight="251667456" behindDoc="0" locked="0" layoutInCell="1" allowOverlap="1">
            <wp:simplePos x="0" y="0"/>
            <wp:positionH relativeFrom="column">
              <wp:posOffset>633730</wp:posOffset>
            </wp:positionH>
            <wp:positionV relativeFrom="paragraph">
              <wp:posOffset>69215</wp:posOffset>
            </wp:positionV>
            <wp:extent cx="1779270" cy="483870"/>
            <wp:effectExtent l="0" t="0" r="3810" b="3810"/>
            <wp:wrapNone/>
            <wp:docPr id="39" name="图片 7" descr="J_`6CMSJ[~(V`RIHX8~1G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J_`6CMSJ[~(V`RIHX8~1GU9"/>
                    <pic:cNvPicPr>
                      <a:picLocks noChangeAspect="1"/>
                    </pic:cNvPicPr>
                  </pic:nvPicPr>
                  <pic:blipFill>
                    <a:blip r:embed="rId31"/>
                    <a:srcRect r="4364"/>
                    <a:stretch>
                      <a:fillRect/>
                    </a:stretch>
                  </pic:blipFill>
                  <pic:spPr>
                    <a:xfrm>
                      <a:off x="0" y="0"/>
                      <a:ext cx="1779270" cy="483870"/>
                    </a:xfrm>
                    <a:prstGeom prst="rect">
                      <a:avLst/>
                    </a:prstGeom>
                    <a:noFill/>
                    <a:ln>
                      <a:noFill/>
                    </a:ln>
                  </pic:spPr>
                </pic:pic>
              </a:graphicData>
            </a:graphic>
          </wp:anchor>
        </w:drawing>
      </w:r>
    </w:p>
    <w:p w14:paraId="198880E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p>
    <w:p w14:paraId="52BA66D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式中：q1，q2……qn——每种危险化学品实际存在量，t。</w:t>
      </w:r>
    </w:p>
    <w:p w14:paraId="5109DCB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Q1，Q2……Qn——与每危险化学品相对应的临界量，t。</w:t>
      </w:r>
    </w:p>
    <w:p w14:paraId="1AF3250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default" w:ascii="宋体" w:hAnsi="宋体" w:eastAsia="宋体" w:cs="宋体"/>
          <w:b w:val="0"/>
          <w:bCs w:val="0"/>
          <w:color w:val="auto"/>
          <w:kern w:val="0"/>
          <w:sz w:val="28"/>
          <w:szCs w:val="28"/>
          <w:lang w:val="en-US" w:eastAsia="zh-CN"/>
        </w:rPr>
        <w:t>危险化学品储罐以及其他容器、设备或仓储区的危险化学品的实际存在量按设计最大量确定。</w:t>
      </w:r>
    </w:p>
    <w:p w14:paraId="5DB17DC7">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color w:val="000000" w:themeColor="text1"/>
          <w:shd w:val="clear" w:color="auto" w:fill="auto"/>
          <w:lang w:val="en-US" w:eastAsia="zh-CN"/>
          <w14:textFill>
            <w14:solidFill>
              <w14:schemeClr w14:val="tx1"/>
            </w14:solidFill>
          </w14:textFill>
        </w:rPr>
      </w:pPr>
      <w:bookmarkStart w:id="335" w:name="_Toc191728187"/>
      <w:bookmarkStart w:id="336" w:name="_Toc191730031"/>
      <w:bookmarkStart w:id="337" w:name="_Toc191729747"/>
      <w:bookmarkStart w:id="338" w:name="_Toc194389944"/>
      <w:bookmarkStart w:id="339" w:name="_Toc239748134"/>
      <w:bookmarkStart w:id="340" w:name="_Toc208398739"/>
      <w:bookmarkStart w:id="341" w:name="_Toc30025"/>
      <w:bookmarkStart w:id="342" w:name="_Toc20977"/>
      <w:bookmarkStart w:id="343" w:name="_Toc15233"/>
      <w:bookmarkStart w:id="344" w:name="_Toc1247"/>
      <w:bookmarkStart w:id="345" w:name="_Toc29311"/>
      <w:r>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t>3.8.2</w:t>
      </w:r>
      <w:r>
        <w:rPr>
          <w:rFonts w:hint="eastAsia" w:ascii="宋体" w:hAnsi="宋体" w:eastAsia="宋体" w:cs="宋体"/>
          <w:b/>
          <w:color w:val="000000" w:themeColor="text1"/>
          <w:sz w:val="30"/>
          <w:szCs w:val="30"/>
          <w:shd w:val="clear" w:color="auto" w:fill="auto"/>
          <w:lang w:val="pt-BR" w:eastAsia="zh-CN"/>
          <w14:textFill>
            <w14:solidFill>
              <w14:schemeClr w14:val="tx1"/>
            </w14:solidFill>
          </w14:textFill>
        </w:rPr>
        <w:t>危险化学品重大危险源辨识</w:t>
      </w:r>
      <w:bookmarkEnd w:id="335"/>
      <w:bookmarkEnd w:id="336"/>
      <w:bookmarkEnd w:id="337"/>
      <w:bookmarkEnd w:id="338"/>
      <w:bookmarkEnd w:id="339"/>
      <w:bookmarkEnd w:id="340"/>
      <w:r>
        <w:rPr>
          <w:rFonts w:hint="eastAsia" w:ascii="宋体" w:hAnsi="宋体" w:eastAsia="宋体" w:cs="宋体"/>
          <w:b/>
          <w:color w:val="000000" w:themeColor="text1"/>
          <w:sz w:val="30"/>
          <w:szCs w:val="30"/>
          <w:shd w:val="clear" w:color="auto" w:fill="auto"/>
          <w:lang w:val="pt-BR" w:eastAsia="zh-CN"/>
          <w14:textFill>
            <w14:solidFill>
              <w14:schemeClr w14:val="tx1"/>
            </w14:solidFill>
          </w14:textFill>
        </w:rPr>
        <w:t>过程</w:t>
      </w:r>
      <w:bookmarkEnd w:id="341"/>
      <w:bookmarkEnd w:id="342"/>
      <w:bookmarkEnd w:id="343"/>
      <w:bookmarkEnd w:id="344"/>
      <w:bookmarkEnd w:id="345"/>
    </w:p>
    <w:p w14:paraId="5C1DE51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根据《危险化学品重大危险源辨识》（GB18218-2018），汽油储存区的临界量为200t，柴油储存区的临界量为5000t。加油站油品储存单元共有</w:t>
      </w:r>
      <w:r>
        <w:rPr>
          <w:rFonts w:hint="eastAsia" w:ascii="宋体" w:hAnsi="宋体" w:cs="宋体"/>
          <w:snapToGrid/>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个储油罐，其中：</w:t>
      </w:r>
      <w:r>
        <w:rPr>
          <w:rFonts w:hint="eastAsia" w:ascii="宋体" w:hAnsi="宋体" w:eastAsia="宋体" w:cs="宋体"/>
          <w:color w:val="000000"/>
          <w:sz w:val="28"/>
          <w:szCs w:val="28"/>
        </w:rPr>
        <w:t>1个</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95#汽油罐，1个</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92#汽油罐，</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个</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0m</w:t>
      </w:r>
      <w:r>
        <w:rPr>
          <w:rFonts w:hint="eastAsia" w:ascii="宋体" w:hAnsi="宋体" w:eastAsia="宋体" w:cs="宋体"/>
          <w:color w:val="000000"/>
          <w:sz w:val="28"/>
          <w:szCs w:val="28"/>
          <w:vertAlign w:val="superscript"/>
        </w:rPr>
        <w:t>3</w:t>
      </w:r>
      <w:r>
        <w:rPr>
          <w:rFonts w:hint="eastAsia" w:ascii="宋体" w:hAnsi="宋体" w:eastAsia="宋体" w:cs="宋体"/>
          <w:color w:val="000000"/>
          <w:sz w:val="28"/>
          <w:szCs w:val="28"/>
        </w:rPr>
        <w:t>0#柴油罐</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；汽油、柴油的密度分别为0.75×10</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kg/m³、0.84×10</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kg/m³。</w:t>
      </w:r>
    </w:p>
    <w:p w14:paraId="5D2F47E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汽油总储量为m=ρV=0.75×10</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kg/m³×</w:t>
      </w:r>
      <w:r>
        <w:rPr>
          <w:rFonts w:hint="eastAsia" w:ascii="宋体" w:hAnsi="宋体" w:cs="宋体"/>
          <w:snapToGrid/>
          <w:color w:val="000000" w:themeColor="text1"/>
          <w:kern w:val="0"/>
          <w:sz w:val="28"/>
          <w:szCs w:val="28"/>
          <w:lang w:val="en-US" w:eastAsia="zh-CN" w:bidi="ar-SA"/>
          <w14:textFill>
            <w14:solidFill>
              <w14:schemeClr w14:val="tx1"/>
            </w14:solidFill>
          </w14:textFill>
        </w:rPr>
        <w:t>100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m³=</w:t>
      </w:r>
      <w:r>
        <w:rPr>
          <w:rFonts w:hint="eastAsia" w:ascii="宋体" w:hAnsi="宋体" w:cs="宋体"/>
          <w:snapToGrid/>
          <w:color w:val="000000" w:themeColor="text1"/>
          <w:kern w:val="0"/>
          <w:sz w:val="28"/>
          <w:szCs w:val="28"/>
          <w:lang w:val="en-US" w:eastAsia="zh-CN" w:bidi="ar-SA"/>
          <w14:textFill>
            <w14:solidFill>
              <w14:schemeClr w14:val="tx1"/>
            </w14:solidFill>
          </w14:textFill>
        </w:rPr>
        <w:t>75000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w:t>
      </w:r>
      <w:r>
        <w:rPr>
          <w:rFonts w:hint="eastAsia" w:ascii="宋体" w:hAnsi="宋体" w:cs="宋体"/>
          <w:snapToGrid/>
          <w:color w:val="000000" w:themeColor="text1"/>
          <w:kern w:val="0"/>
          <w:sz w:val="28"/>
          <w:szCs w:val="28"/>
          <w:lang w:val="en-US" w:eastAsia="zh-CN" w:bidi="ar-SA"/>
          <w14:textFill>
            <w14:solidFill>
              <w14:schemeClr w14:val="tx1"/>
            </w14:solidFill>
          </w14:textFill>
        </w:rPr>
        <w:t>75</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t</w:t>
      </w:r>
    </w:p>
    <w:p w14:paraId="598E968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0#柴油储量m=ρV=0.84×10</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kg/m³×</w:t>
      </w:r>
      <w:r>
        <w:rPr>
          <w:rFonts w:hint="eastAsia" w:ascii="宋体" w:hAnsi="宋体" w:cs="宋体"/>
          <w:snapToGrid/>
          <w:color w:val="000000" w:themeColor="text1"/>
          <w:kern w:val="0"/>
          <w:sz w:val="28"/>
          <w:szCs w:val="28"/>
          <w:lang w:val="en-US" w:eastAsia="zh-CN" w:bidi="ar-SA"/>
          <w14:textFill>
            <w14:solidFill>
              <w14:schemeClr w14:val="tx1"/>
            </w14:solidFill>
          </w14:textFill>
        </w:rPr>
        <w:t>100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m³=</w:t>
      </w:r>
      <w:r>
        <w:rPr>
          <w:rFonts w:hint="eastAsia" w:ascii="宋体" w:hAnsi="宋体" w:cs="宋体"/>
          <w:snapToGrid/>
          <w:color w:val="000000" w:themeColor="text1"/>
          <w:kern w:val="0"/>
          <w:sz w:val="28"/>
          <w:szCs w:val="28"/>
          <w:lang w:val="en-US" w:eastAsia="zh-CN" w:bidi="ar-SA"/>
          <w14:textFill>
            <w14:solidFill>
              <w14:schemeClr w14:val="tx1"/>
            </w14:solidFill>
          </w14:textFill>
        </w:rPr>
        <w:t>84000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w:t>
      </w:r>
      <w:r>
        <w:rPr>
          <w:rFonts w:hint="eastAsia" w:ascii="宋体" w:hAnsi="宋体" w:cs="宋体"/>
          <w:snapToGrid/>
          <w:color w:val="000000" w:themeColor="text1"/>
          <w:kern w:val="0"/>
          <w:sz w:val="28"/>
          <w:szCs w:val="28"/>
          <w:lang w:val="en-US" w:eastAsia="zh-CN" w:bidi="ar-SA"/>
          <w14:textFill>
            <w14:solidFill>
              <w14:schemeClr w14:val="tx1"/>
            </w14:solidFill>
          </w14:textFill>
        </w:rPr>
        <w:t>84</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t</w:t>
      </w:r>
    </w:p>
    <w:p w14:paraId="326CD9D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eastAsia="宋体" w:cs="Times New Roman"/>
          <w:kern w:val="2"/>
          <w:sz w:val="28"/>
          <w:szCs w:val="28"/>
          <w:lang w:val="en-US" w:eastAsia="zh-CN" w:bidi="ar-SA"/>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由上式知加油站</w:t>
      </w:r>
      <w:r>
        <w:rPr>
          <w:rFonts w:hint="eastAsia" w:ascii="宋体" w:hAnsi="宋体" w:eastAsia="宋体" w:cs="宋体"/>
          <w:color w:val="000000" w:themeColor="text1"/>
          <w:sz w:val="28"/>
          <w:szCs w:val="28"/>
          <w:lang w:val="en-US" w:eastAsia="zh-CN"/>
          <w14:textFill>
            <w14:solidFill>
              <w14:schemeClr w14:val="tx1"/>
            </w14:solidFill>
          </w14:textFill>
        </w:rPr>
        <w:t>油品储存单元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内汽油的总储量为</w:t>
      </w:r>
      <w:r>
        <w:rPr>
          <w:rFonts w:hint="eastAsia" w:ascii="宋体" w:hAnsi="宋体" w:cs="宋体"/>
          <w:snapToGrid/>
          <w:color w:val="000000" w:themeColor="text1"/>
          <w:kern w:val="0"/>
          <w:sz w:val="28"/>
          <w:szCs w:val="28"/>
          <w:lang w:val="en-US" w:eastAsia="zh-CN" w:bidi="ar-SA"/>
          <w14:textFill>
            <w14:solidFill>
              <w14:schemeClr w14:val="tx1"/>
            </w14:solidFill>
          </w14:textFill>
        </w:rPr>
        <w:t>75</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t，柴油的总储量为</w:t>
      </w:r>
      <w:r>
        <w:rPr>
          <w:rFonts w:hint="eastAsia" w:ascii="宋体" w:hAnsi="宋体" w:cs="宋体"/>
          <w:snapToGrid/>
          <w:color w:val="000000" w:themeColor="text1"/>
          <w:kern w:val="0"/>
          <w:sz w:val="28"/>
          <w:szCs w:val="28"/>
          <w:lang w:val="en-US" w:eastAsia="zh-CN" w:bidi="ar-SA"/>
          <w14:textFill>
            <w14:solidFill>
              <w14:schemeClr w14:val="tx1"/>
            </w14:solidFill>
          </w14:textFill>
        </w:rPr>
        <w:t>84</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t。根据《危险化学品重大危险源辨识》（GB18218-2018）给出的汽油、柴油储存临界量与本服务区油品存储单元设计最大油品存储量的对比，见表3-4所示：</w:t>
      </w:r>
    </w:p>
    <w:p w14:paraId="0AC7BF42">
      <w:pPr>
        <w:bidi w:val="0"/>
        <w:rPr>
          <w:rFonts w:hint="eastAsia"/>
          <w:lang w:val="en-US" w:eastAsia="zh-CN"/>
        </w:rPr>
      </w:pPr>
    </w:p>
    <w:p w14:paraId="41E6544E">
      <w:pPr>
        <w:bidi w:val="0"/>
        <w:rPr>
          <w:rFonts w:hint="eastAsia"/>
          <w:lang w:val="en-US" w:eastAsia="zh-CN"/>
        </w:rPr>
      </w:pPr>
    </w:p>
    <w:p w14:paraId="23752479">
      <w:pPr>
        <w:bidi w:val="0"/>
        <w:rPr>
          <w:rFonts w:hint="eastAsia"/>
          <w:lang w:val="en-US" w:eastAsia="zh-CN"/>
        </w:rPr>
      </w:pPr>
    </w:p>
    <w:p w14:paraId="671164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bCs/>
          <w:color w:val="000000" w:themeColor="text1"/>
          <w:sz w:val="24"/>
          <w14:textFill>
            <w14:solidFill>
              <w14:schemeClr w14:val="tx1"/>
            </w14:solidFill>
          </w14:textFill>
        </w:rPr>
      </w:pPr>
    </w:p>
    <w:p w14:paraId="2570C8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bCs/>
          <w:color w:val="000000" w:themeColor="text1"/>
          <w:sz w:val="24"/>
          <w14:textFill>
            <w14:solidFill>
              <w14:schemeClr w14:val="tx1"/>
            </w14:solidFill>
          </w14:textFill>
        </w:rPr>
      </w:pPr>
    </w:p>
    <w:p w14:paraId="25C06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表</w:t>
      </w:r>
      <w:r>
        <w:rPr>
          <w:rFonts w:hint="eastAsia" w:hAnsi="宋体"/>
          <w:bCs/>
          <w:color w:val="000000" w:themeColor="text1"/>
          <w:sz w:val="24"/>
          <w:lang w:val="en-US" w:eastAsia="zh-CN"/>
          <w14:textFill>
            <w14:solidFill>
              <w14:schemeClr w14:val="tx1"/>
            </w14:solidFill>
          </w14:textFill>
        </w:rPr>
        <w:t>3</w:t>
      </w: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 xml:space="preserve">4 </w:t>
      </w:r>
      <w:r>
        <w:rPr>
          <w:rFonts w:hint="eastAsia" w:hAnsi="宋体"/>
          <w:bCs/>
          <w:color w:val="000000" w:themeColor="text1"/>
          <w:sz w:val="24"/>
          <w:lang w:val="en-US" w:eastAsia="zh-CN"/>
          <w14:textFill>
            <w14:solidFill>
              <w14:schemeClr w14:val="tx1"/>
            </w14:solidFill>
          </w14:textFill>
        </w:rPr>
        <w:t>设计最大存储量</w:t>
      </w:r>
      <w:r>
        <w:rPr>
          <w:rFonts w:hint="eastAsia" w:hAnsi="宋体"/>
          <w:bCs/>
          <w:color w:val="000000" w:themeColor="text1"/>
          <w:sz w:val="24"/>
          <w14:textFill>
            <w14:solidFill>
              <w14:schemeClr w14:val="tx1"/>
            </w14:solidFill>
          </w14:textFill>
        </w:rPr>
        <w:t>与临界量对比表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480"/>
        <w:gridCol w:w="2892"/>
      </w:tblGrid>
      <w:tr w14:paraId="6E65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760" w:type="dxa"/>
            <w:vMerge w:val="restart"/>
            <w:noWrap w:val="0"/>
            <w:vAlign w:val="center"/>
          </w:tcPr>
          <w:p w14:paraId="42459BC8">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物质名称</w:t>
            </w:r>
          </w:p>
        </w:tc>
        <w:tc>
          <w:tcPr>
            <w:tcW w:w="5372" w:type="dxa"/>
            <w:gridSpan w:val="2"/>
            <w:noWrap w:val="0"/>
            <w:vAlign w:val="center"/>
          </w:tcPr>
          <w:p w14:paraId="7EDC6797">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油罐区</w:t>
            </w:r>
          </w:p>
        </w:tc>
      </w:tr>
      <w:tr w14:paraId="2866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760" w:type="dxa"/>
            <w:vMerge w:val="continue"/>
            <w:noWrap w:val="0"/>
            <w:vAlign w:val="center"/>
          </w:tcPr>
          <w:p w14:paraId="161F1CF9">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p>
        </w:tc>
        <w:tc>
          <w:tcPr>
            <w:tcW w:w="2480" w:type="dxa"/>
            <w:noWrap w:val="0"/>
            <w:vAlign w:val="center"/>
          </w:tcPr>
          <w:p w14:paraId="70B411E4">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临界量/t</w:t>
            </w:r>
          </w:p>
        </w:tc>
        <w:tc>
          <w:tcPr>
            <w:tcW w:w="2892" w:type="dxa"/>
            <w:noWrap w:val="0"/>
            <w:vAlign w:val="center"/>
          </w:tcPr>
          <w:p w14:paraId="714CA5C3">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设计</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最大储存量/t</w:t>
            </w:r>
          </w:p>
        </w:tc>
      </w:tr>
      <w:tr w14:paraId="46FF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0" w:type="dxa"/>
            <w:noWrap w:val="0"/>
            <w:vAlign w:val="center"/>
          </w:tcPr>
          <w:p w14:paraId="4D2C2A24">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汽  油</w:t>
            </w:r>
          </w:p>
        </w:tc>
        <w:tc>
          <w:tcPr>
            <w:tcW w:w="2480" w:type="dxa"/>
            <w:noWrap w:val="0"/>
            <w:vAlign w:val="center"/>
          </w:tcPr>
          <w:p w14:paraId="2F5D5863">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200</w:t>
            </w:r>
          </w:p>
        </w:tc>
        <w:tc>
          <w:tcPr>
            <w:tcW w:w="2892" w:type="dxa"/>
            <w:noWrap w:val="0"/>
            <w:vAlign w:val="center"/>
          </w:tcPr>
          <w:p w14:paraId="12B86D7C">
            <w:pPr>
              <w:pageBreakBefore w:val="0"/>
              <w:kinsoku/>
              <w:wordWrap/>
              <w:overflowPunct/>
              <w:topLinePunct w:val="0"/>
              <w:autoSpaceDE/>
              <w:autoSpaceDN/>
              <w:bidi w:val="0"/>
              <w:spacing w:line="500" w:lineRule="exact"/>
              <w:jc w:val="center"/>
              <w:textAlignment w:val="auto"/>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75</w:t>
            </w:r>
          </w:p>
        </w:tc>
      </w:tr>
      <w:tr w14:paraId="1834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0" w:type="dxa"/>
            <w:noWrap w:val="0"/>
            <w:vAlign w:val="center"/>
          </w:tcPr>
          <w:p w14:paraId="789BD9B5">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柴  油</w:t>
            </w:r>
          </w:p>
        </w:tc>
        <w:tc>
          <w:tcPr>
            <w:tcW w:w="2480" w:type="dxa"/>
            <w:noWrap w:val="0"/>
            <w:vAlign w:val="center"/>
          </w:tcPr>
          <w:p w14:paraId="04F459C9">
            <w:pPr>
              <w:pageBreakBefore w:val="0"/>
              <w:kinsoku/>
              <w:wordWrap/>
              <w:overflowPunct/>
              <w:topLinePunct w:val="0"/>
              <w:autoSpaceDE/>
              <w:autoSpaceDN/>
              <w:bidi w:val="0"/>
              <w:spacing w:line="500" w:lineRule="exact"/>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5000</w:t>
            </w:r>
          </w:p>
        </w:tc>
        <w:tc>
          <w:tcPr>
            <w:tcW w:w="2892" w:type="dxa"/>
            <w:noWrap w:val="0"/>
            <w:vAlign w:val="center"/>
          </w:tcPr>
          <w:p w14:paraId="77D39E1C">
            <w:pPr>
              <w:pageBreakBefore w:val="0"/>
              <w:kinsoku/>
              <w:wordWrap/>
              <w:overflowPunct/>
              <w:topLinePunct w:val="0"/>
              <w:autoSpaceDE/>
              <w:autoSpaceDN/>
              <w:bidi w:val="0"/>
              <w:spacing w:line="500" w:lineRule="exact"/>
              <w:jc w:val="center"/>
              <w:textAlignment w:val="auto"/>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84</w:t>
            </w:r>
          </w:p>
        </w:tc>
      </w:tr>
    </w:tbl>
    <w:p w14:paraId="57DF305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宋体" w:hAnsi="宋体" w:eastAsia="宋体" w:cs="宋体"/>
          <w:b w:val="0"/>
          <w:bCs w:val="0"/>
          <w:color w:val="auto"/>
          <w:kern w:val="0"/>
          <w:sz w:val="28"/>
          <w:szCs w:val="28"/>
          <w:lang w:val="en-US" w:eastAsia="zh-CN"/>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对照上表可知，汽油设计储存吨数/临界吨数＋柴油设计储存吨数/临界吨数＝</w:t>
      </w:r>
      <w:r>
        <w:rPr>
          <w:rFonts w:hint="eastAsia" w:ascii="宋体" w:hAnsi="宋体" w:cs="宋体"/>
          <w:snapToGrid/>
          <w:color w:val="000000" w:themeColor="text1"/>
          <w:kern w:val="0"/>
          <w:sz w:val="28"/>
          <w:szCs w:val="28"/>
          <w:lang w:val="en-US" w:eastAsia="zh-CN" w:bidi="ar-SA"/>
          <w14:textFill>
            <w14:solidFill>
              <w14:schemeClr w14:val="tx1"/>
            </w14:solidFill>
          </w14:textFill>
        </w:rPr>
        <w:t>75</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/200＋</w:t>
      </w:r>
      <w:r>
        <w:rPr>
          <w:rFonts w:hint="eastAsia" w:ascii="宋体" w:hAnsi="宋体" w:cs="宋体"/>
          <w:snapToGrid/>
          <w:color w:val="000000" w:themeColor="text1"/>
          <w:kern w:val="0"/>
          <w:sz w:val="28"/>
          <w:szCs w:val="28"/>
          <w:lang w:val="en-US" w:eastAsia="zh-CN" w:bidi="ar-SA"/>
          <w14:textFill>
            <w14:solidFill>
              <w14:schemeClr w14:val="tx1"/>
            </w14:solidFill>
          </w14:textFill>
        </w:rPr>
        <w:t>84</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/5000=</w:t>
      </w:r>
      <w:r>
        <w:rPr>
          <w:rFonts w:hint="eastAsia" w:ascii="宋体" w:hAnsi="宋体" w:cs="宋体"/>
          <w:snapToGrid/>
          <w:color w:val="000000" w:themeColor="text1"/>
          <w:kern w:val="0"/>
          <w:sz w:val="28"/>
          <w:szCs w:val="28"/>
          <w:lang w:val="en-US" w:eastAsia="zh-CN" w:bidi="ar-SA"/>
          <w14:textFill>
            <w14:solidFill>
              <w14:schemeClr w14:val="tx1"/>
            </w14:solidFill>
          </w14:textFill>
        </w:rPr>
        <w:t>0.3918</w:t>
      </w:r>
    </w:p>
    <w:p w14:paraId="5BD4560B">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46" w:name="_Toc22648"/>
      <w:r>
        <w:rPr>
          <w:rFonts w:hint="eastAsia" w:ascii="宋体" w:hAnsi="宋体" w:eastAsia="宋体" w:cs="宋体"/>
          <w:b/>
          <w:color w:val="000000" w:themeColor="text1"/>
          <w:sz w:val="30"/>
          <w:szCs w:val="30"/>
          <w:lang w:val="en-US" w:eastAsia="zh-CN"/>
          <w14:textFill>
            <w14:solidFill>
              <w14:schemeClr w14:val="tx1"/>
            </w14:solidFill>
          </w14:textFill>
        </w:rPr>
        <w:t>3.8.3辨识结论</w:t>
      </w:r>
      <w:bookmarkEnd w:id="346"/>
    </w:p>
    <w:p w14:paraId="59712C9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根据《危险化学品重大危险源辨识》（GB18218-2018），该加油站按上述式（1）计算，计算值为0.</w:t>
      </w:r>
      <w:r>
        <w:rPr>
          <w:rFonts w:hint="eastAsia" w:ascii="宋体" w:hAnsi="宋体" w:cs="宋体"/>
          <w:snapToGrid/>
          <w:color w:val="000000" w:themeColor="text1"/>
          <w:kern w:val="0"/>
          <w:sz w:val="28"/>
          <w:szCs w:val="28"/>
          <w:lang w:val="en-US" w:eastAsia="zh-CN" w:bidi="ar-SA"/>
          <w14:textFill>
            <w14:solidFill>
              <w14:schemeClr w14:val="tx1"/>
            </w14:solidFill>
          </w14:textFill>
        </w:rPr>
        <w:t>3918</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，小于1，故加油站油品储量单元未构成重大危险源。</w:t>
      </w:r>
      <w:bookmarkStart w:id="347" w:name="_Toc4325"/>
      <w:bookmarkStart w:id="348" w:name="_Toc26119"/>
      <w:bookmarkStart w:id="349" w:name="_Toc6409"/>
    </w:p>
    <w:p w14:paraId="7F4A78AF">
      <w:pPr>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1"/>
        <w:rPr>
          <w:rFonts w:hint="eastAsia" w:ascii="宋体" w:hAnsi="宋体" w:eastAsia="宋体" w:cs="宋体"/>
          <w:b/>
          <w:smallCaps/>
          <w:color w:val="auto"/>
          <w:kern w:val="0"/>
          <w:sz w:val="32"/>
          <w:szCs w:val="32"/>
          <w:lang w:val="en-US" w:eastAsia="zh-CN"/>
        </w:rPr>
      </w:pPr>
      <w:bookmarkStart w:id="350" w:name="_Toc13649"/>
      <w:r>
        <w:rPr>
          <w:rFonts w:hint="eastAsia" w:ascii="宋体" w:hAnsi="宋体" w:eastAsia="宋体" w:cs="宋体"/>
          <w:b/>
          <w:smallCaps/>
          <w:color w:val="auto"/>
          <w:kern w:val="0"/>
          <w:sz w:val="32"/>
          <w:szCs w:val="32"/>
          <w:lang w:val="en-US" w:eastAsia="zh-CN"/>
        </w:rPr>
        <w:t>3.9事故案例分析</w:t>
      </w:r>
      <w:bookmarkEnd w:id="347"/>
      <w:bookmarkEnd w:id="348"/>
      <w:bookmarkEnd w:id="349"/>
      <w:bookmarkEnd w:id="350"/>
    </w:p>
    <w:p w14:paraId="40D36B0C">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51" w:name="_Toc28236"/>
      <w:bookmarkStart w:id="352" w:name="_Toc7381"/>
      <w:bookmarkStart w:id="353" w:name="_Toc31119"/>
      <w:bookmarkStart w:id="354" w:name="_Toc25215"/>
      <w:r>
        <w:rPr>
          <w:rFonts w:hint="eastAsia" w:ascii="宋体" w:hAnsi="宋体" w:eastAsia="宋体" w:cs="宋体"/>
          <w:b/>
          <w:color w:val="000000" w:themeColor="text1"/>
          <w:sz w:val="30"/>
          <w:szCs w:val="30"/>
          <w:lang w:val="en-US" w:eastAsia="zh-CN"/>
          <w14:textFill>
            <w14:solidFill>
              <w14:schemeClr w14:val="tx1"/>
            </w14:solidFill>
          </w14:textFill>
        </w:rPr>
        <w:t>3.9.1事故统计分析</w:t>
      </w:r>
      <w:bookmarkEnd w:id="351"/>
      <w:bookmarkEnd w:id="352"/>
      <w:bookmarkEnd w:id="353"/>
      <w:bookmarkEnd w:id="354"/>
    </w:p>
    <w:p w14:paraId="5436401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石油产品储存销售存在着火灾、爆炸危险，这些危险在一定条件下就会转变为事故，给人民的生命财产造成一定损失，有的甚至给社会带来灾难性破坏。根据《油料事故实例》中所述100起事故进行分析：其中火灾、爆炸事故燃烧物中油蒸气占89％，而油品只占11％。引起油品及油蒸气燃烧的点火源主要包括电火花、意外明火、焊接火花、静电火花、雷电起火等，其中意外明火38％、静电火花23％、电火花占17％三者所占的比例较高接近80％，而焊接火花9％、雷电5％、起火8％三者合计刚超过了20％等。控制火灾爆炸事故，应控制油品的泄漏挥发，防止形成爆炸性混合气体，防止点火源的存在。</w:t>
      </w:r>
    </w:p>
    <w:p w14:paraId="4E6616A9">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55" w:name="_Toc23885"/>
      <w:bookmarkStart w:id="356" w:name="_Toc4469"/>
      <w:bookmarkStart w:id="357" w:name="_Toc27518"/>
      <w:bookmarkStart w:id="358" w:name="_Toc23204"/>
      <w:r>
        <w:rPr>
          <w:rFonts w:hint="eastAsia" w:ascii="宋体" w:hAnsi="宋体" w:eastAsia="宋体" w:cs="宋体"/>
          <w:b/>
          <w:color w:val="000000" w:themeColor="text1"/>
          <w:sz w:val="30"/>
          <w:szCs w:val="30"/>
          <w:lang w:val="en-US" w:eastAsia="zh-CN"/>
          <w14:textFill>
            <w14:solidFill>
              <w14:schemeClr w14:val="tx1"/>
            </w14:solidFill>
          </w14:textFill>
        </w:rPr>
        <w:t>3.9.2事故案例</w:t>
      </w:r>
      <w:bookmarkEnd w:id="355"/>
      <w:bookmarkEnd w:id="356"/>
      <w:bookmarkEnd w:id="357"/>
      <w:bookmarkEnd w:id="358"/>
    </w:p>
    <w:p w14:paraId="12A4B8B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（1）加油站被雷击突然起火事故</w:t>
      </w:r>
    </w:p>
    <w:p w14:paraId="737627B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2004年8月20日下午，一声惊雷过后，钦州市浦北县寨圩镇平战加油站突然起火。该加油站共有4个油罐，共存有柴油20多吨。这次火灾烧毁4个油罐，由于扑救及时，无人员伤亡。</w:t>
      </w:r>
    </w:p>
    <w:p w14:paraId="112463B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（2）古坝镇前姚加油站火灾爆炸事故</w:t>
      </w:r>
    </w:p>
    <w:p w14:paraId="23AC24C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古坝镇前姚加油站有平房3间（1间为出租理发店、1间为加油站开票收款兼营百货小商店、1间为洗车店），与加油站相连的南北隔壁电器商店、缝纫店各1间。2004年8月10下午14：30，古坝镇前姚加油站向位于地下室内的90#汽油灌注装8240L90#汽油。由于油罐无安全附件，油罐上的排气管安装不规范，油气不能直接排入大气，致使大量的油蒸汽进入放置油罐的地下室内，在地下室和管沟及加油机内形成了汽油蒸汽与空气混合，形成爆炸混合气体。当日16：30左右，位于该加油站中间的一台90#汽油加油机开始向一辆拖拉机拉来的8只油桶内加入90#汽油1600L，在加油结束时，发生爆炸事故。炸毁上述5间平房，现场13人被埋入废墟，其中8人因房屋倒塌被当场砸死，砸伤2人，3人从废墟中自救脱险，未受损伤的加油站前，另有6人被爆炸飞出的水泥块和砖块砸伤。受伤的8人立即被送往医院抢救，其中1人因伤势过重，抢救无效，于8月11日凌晨0：30分死亡，7人经抢救脱离危险。这起事故共造成9人死亡，7人轻伤，直接经济损失为22.3298万元。</w:t>
      </w:r>
    </w:p>
    <w:p w14:paraId="21EB144D">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59" w:name="_Toc18333"/>
      <w:bookmarkStart w:id="360" w:name="_Toc2825"/>
      <w:bookmarkStart w:id="361" w:name="_Toc12350"/>
      <w:bookmarkStart w:id="362" w:name="_Toc18959"/>
      <w:r>
        <w:rPr>
          <w:rFonts w:hint="eastAsia" w:ascii="宋体" w:hAnsi="宋体" w:eastAsia="宋体" w:cs="宋体"/>
          <w:b/>
          <w:color w:val="000000" w:themeColor="text1"/>
          <w:sz w:val="30"/>
          <w:szCs w:val="30"/>
          <w:lang w:val="en-US" w:eastAsia="zh-CN"/>
          <w14:textFill>
            <w14:solidFill>
              <w14:schemeClr w14:val="tx1"/>
            </w14:solidFill>
          </w14:textFill>
        </w:rPr>
        <w:t>3.9.3案例原因分析</w:t>
      </w:r>
      <w:bookmarkEnd w:id="359"/>
      <w:bookmarkEnd w:id="360"/>
      <w:bookmarkEnd w:id="361"/>
      <w:bookmarkEnd w:id="362"/>
    </w:p>
    <w:p w14:paraId="64F429C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案例（1）是加油站被雷击起火事故，属站内管理缺陷所导致的事故。因此，站内所有油罐必须保证接地良好，并按期进行接地电阻测试，确保接地电阻阻值不大于4Ω。</w:t>
      </w:r>
    </w:p>
    <w:p w14:paraId="68FD0A8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案例（2）事故直接原因是前姚加油站中间一台90#汽油加油机内的防爆继电器安装不规范，继电器内一根相线的绝缘包皮被夹破，加油机连续工作近1个小时，加油机电器线路发热，在继电器相线绝缘性能下降的情况下漏电，致使该台加油机内电器线路温度剧升，绝缘包皮燃烧产生的明火，遇加油机内、地沟内的爆炸性混合气体引起爆轰，经地沟传至地下室的爆炸性气体同时爆炸，造成加油站及毗邻的建筑物倒塌，并引发火灾。事故间接原因是违反了加油站在工艺、设计上的两个核心安全上的原则：一是防止油气泄漏，减少油气挥发；二是不产生油气积聚的条件，以防止火灾爆炸的条件产生。所以加油站的工艺技术关键：</w:t>
      </w:r>
    </w:p>
    <w:p w14:paraId="116C906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一是严禁将油罐设在室内、地下室及半地下室内，加油机必须露天放置，以杜绝油罐和加油机万一发生泄漏，油气在室内积聚达到爆炸浓度，造成火灾爆炸事故；</w:t>
      </w:r>
    </w:p>
    <w:p w14:paraId="05B7DBC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二是油罐车卸油必须采用密闭卸油方式，油罐进油管应向下伸至罐底0.2m处，最大限度地防止油品入罐时的油气挥发；</w:t>
      </w:r>
    </w:p>
    <w:p w14:paraId="0A04162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三是汽、柴油罐通气管应分开设置，管口应高于地面4m以上（沿建筑物墙体向上敷设时应高出建筑物顶面1.5m），以防止挥发性油气在地面积聚，达到爆炸浓度。同时，油罐通气管口应安装阻火器，以防止火星从管口进入罐内，造成油罐火灾爆炸事故。</w:t>
      </w:r>
    </w:p>
    <w:p w14:paraId="4D470F52">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63" w:name="_Toc26734"/>
      <w:bookmarkStart w:id="364" w:name="_Toc20559"/>
      <w:bookmarkStart w:id="365" w:name="_Toc21138"/>
      <w:bookmarkStart w:id="366" w:name="_Toc9070"/>
      <w:r>
        <w:rPr>
          <w:rFonts w:hint="eastAsia" w:ascii="宋体" w:hAnsi="宋体" w:eastAsia="宋体" w:cs="宋体"/>
          <w:b/>
          <w:smallCaps/>
          <w:color w:val="auto"/>
          <w:kern w:val="0"/>
          <w:szCs w:val="20"/>
          <w:lang w:val="en-US" w:eastAsia="zh-CN"/>
        </w:rPr>
        <w:t>3.10本章小结</w:t>
      </w:r>
      <w:bookmarkEnd w:id="363"/>
      <w:bookmarkEnd w:id="364"/>
      <w:bookmarkEnd w:id="365"/>
      <w:bookmarkEnd w:id="366"/>
    </w:p>
    <w:p w14:paraId="2E67DBF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对该加油站的危险、有害因素的辨识及分析，该加油站经营的92#汽油、95#汽油和0#柴油为危险化学品，其中，汽油为重点监管的危险化学品。加油站在经营过程中，主要危险部位在加油区、油罐区、配电房。主要危险有害因素是火灾、爆炸、中毒窒息事故和高处坠落、车辆伤害及触电等危害。其中，因油品泄漏而导致的火灾、爆炸危害是防范的重点。</w:t>
      </w:r>
    </w:p>
    <w:p w14:paraId="66C7445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站址方面存在的危险有害因素是站址坍塌和地震危害；周边环境的主要危险有害因素是车辆伤害高处坠落；气候条件的主要危险有害因素是雷电和高温天气，可能会导致雷电危害、人员中暑、潜油泵气阻、围墙坍塌、罐池坍塌等危害等。</w:t>
      </w:r>
    </w:p>
    <w:p w14:paraId="534C076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加油站的爆炸危险区域、火灾危险区域主要是加油区、卸油区、油罐罐池区域和隔油池，划分为1区和2区；油罐内为0区。</w:t>
      </w:r>
    </w:p>
    <w:p w14:paraId="1A412C73">
      <w:pPr>
        <w:keepNext w:val="0"/>
        <w:keepLines w:val="0"/>
        <w:pageBreakBefore w:val="0"/>
        <w:widowControl w:val="0"/>
        <w:kinsoku/>
        <w:wordWrap/>
        <w:overflowPunct/>
        <w:topLinePunct w:val="0"/>
        <w:autoSpaceDE/>
        <w:autoSpaceDN/>
        <w:bidi w:val="0"/>
        <w:spacing w:line="600" w:lineRule="exact"/>
        <w:jc w:val="left"/>
        <w:textAlignment w:val="auto"/>
        <w:rPr>
          <w:rFonts w:hint="eastAsia"/>
          <w:lang w:val="en-US" w:eastAsia="zh-CN"/>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经辨识，该加油站汽油和柴油的储存设施未构成危险化学品重大危险源。</w:t>
      </w:r>
    </w:p>
    <w:p w14:paraId="5CF05784">
      <w:pPr>
        <w:bidi w:val="0"/>
        <w:jc w:val="left"/>
        <w:rPr>
          <w:rFonts w:hint="eastAsia"/>
          <w:lang w:val="en-US" w:eastAsia="zh-CN"/>
        </w:rPr>
      </w:pPr>
    </w:p>
    <w:p w14:paraId="5165D718">
      <w:pPr>
        <w:bidi w:val="0"/>
        <w:rPr>
          <w:rFonts w:hint="eastAsia" w:ascii="Times New Roman" w:hAnsi="Times New Roman" w:eastAsia="宋体" w:cs="Times New Roman"/>
          <w:kern w:val="2"/>
          <w:sz w:val="21"/>
          <w:szCs w:val="24"/>
          <w:lang w:val="en-US" w:eastAsia="zh-CN" w:bidi="ar-SA"/>
        </w:rPr>
      </w:pPr>
    </w:p>
    <w:p w14:paraId="0A8DDC52">
      <w:pPr>
        <w:bidi w:val="0"/>
        <w:rPr>
          <w:rFonts w:hint="eastAsia"/>
          <w:lang w:val="en-US" w:eastAsia="zh-CN"/>
        </w:rPr>
      </w:pPr>
    </w:p>
    <w:p w14:paraId="7C661D52">
      <w:pPr>
        <w:bidi w:val="0"/>
        <w:rPr>
          <w:rFonts w:hint="eastAsia"/>
          <w:lang w:val="en-US" w:eastAsia="zh-CN"/>
        </w:rPr>
      </w:pPr>
    </w:p>
    <w:p w14:paraId="21A38873">
      <w:pPr>
        <w:bidi w:val="0"/>
        <w:rPr>
          <w:rFonts w:hint="eastAsia"/>
          <w:lang w:val="en-US" w:eastAsia="zh-CN"/>
        </w:rPr>
      </w:pPr>
    </w:p>
    <w:p w14:paraId="6359AE87">
      <w:pPr>
        <w:bidi w:val="0"/>
        <w:rPr>
          <w:rFonts w:hint="eastAsia"/>
          <w:lang w:val="en-US" w:eastAsia="zh-CN"/>
        </w:rPr>
      </w:pPr>
    </w:p>
    <w:p w14:paraId="65828372">
      <w:pPr>
        <w:tabs>
          <w:tab w:val="left" w:pos="786"/>
        </w:tabs>
        <w:bidi w:val="0"/>
        <w:jc w:val="left"/>
        <w:rPr>
          <w:rFonts w:hint="eastAsia"/>
          <w:lang w:val="en-US" w:eastAsia="zh-CN"/>
        </w:rPr>
      </w:pPr>
      <w:r>
        <w:rPr>
          <w:rFonts w:hint="eastAsia"/>
          <w:lang w:val="en-US" w:eastAsia="zh-CN"/>
        </w:rPr>
        <w:tab/>
      </w:r>
      <w:bookmarkStart w:id="367" w:name="_Toc16775"/>
    </w:p>
    <w:p w14:paraId="71AC6A3A">
      <w:pPr>
        <w:tabs>
          <w:tab w:val="left" w:pos="786"/>
        </w:tabs>
        <w:bidi w:val="0"/>
        <w:jc w:val="left"/>
        <w:rPr>
          <w:rFonts w:hint="eastAsia"/>
          <w:lang w:val="en-US" w:eastAsia="zh-CN"/>
        </w:rPr>
      </w:pPr>
    </w:p>
    <w:p w14:paraId="5DE2AB4C">
      <w:pPr>
        <w:tabs>
          <w:tab w:val="left" w:pos="786"/>
        </w:tabs>
        <w:bidi w:val="0"/>
        <w:jc w:val="left"/>
        <w:rPr>
          <w:rFonts w:hint="eastAsia"/>
          <w:lang w:val="en-US" w:eastAsia="zh-CN"/>
        </w:rPr>
      </w:pPr>
    </w:p>
    <w:p w14:paraId="5DF49B35">
      <w:pPr>
        <w:tabs>
          <w:tab w:val="left" w:pos="786"/>
        </w:tabs>
        <w:bidi w:val="0"/>
        <w:jc w:val="left"/>
        <w:rPr>
          <w:rFonts w:hint="eastAsia"/>
          <w:lang w:val="en-US" w:eastAsia="zh-CN"/>
        </w:rPr>
      </w:pPr>
    </w:p>
    <w:p w14:paraId="143E64CD">
      <w:pPr>
        <w:tabs>
          <w:tab w:val="left" w:pos="786"/>
        </w:tabs>
        <w:bidi w:val="0"/>
        <w:jc w:val="left"/>
        <w:rPr>
          <w:rFonts w:hint="eastAsia"/>
          <w:lang w:val="en-US" w:eastAsia="zh-CN"/>
        </w:rPr>
      </w:pPr>
    </w:p>
    <w:p w14:paraId="140953EA">
      <w:pPr>
        <w:tabs>
          <w:tab w:val="left" w:pos="786"/>
        </w:tabs>
        <w:bidi w:val="0"/>
        <w:jc w:val="left"/>
        <w:rPr>
          <w:rFonts w:hint="eastAsia"/>
          <w:lang w:val="en-US" w:eastAsia="zh-CN"/>
        </w:rPr>
      </w:pPr>
    </w:p>
    <w:p w14:paraId="5608C35C">
      <w:pPr>
        <w:tabs>
          <w:tab w:val="left" w:pos="786"/>
        </w:tabs>
        <w:bidi w:val="0"/>
        <w:jc w:val="left"/>
        <w:rPr>
          <w:rFonts w:hint="eastAsia"/>
          <w:lang w:val="en-US" w:eastAsia="zh-CN"/>
        </w:rPr>
      </w:pPr>
    </w:p>
    <w:p w14:paraId="1412FCE9">
      <w:pPr>
        <w:tabs>
          <w:tab w:val="left" w:pos="786"/>
        </w:tabs>
        <w:bidi w:val="0"/>
        <w:jc w:val="left"/>
        <w:rPr>
          <w:rFonts w:hint="eastAsia"/>
          <w:lang w:val="en-US" w:eastAsia="zh-CN"/>
        </w:rPr>
      </w:pPr>
    </w:p>
    <w:p w14:paraId="0E1D6FC3">
      <w:pPr>
        <w:tabs>
          <w:tab w:val="left" w:pos="786"/>
        </w:tabs>
        <w:bidi w:val="0"/>
        <w:jc w:val="left"/>
        <w:rPr>
          <w:rFonts w:hint="eastAsia"/>
          <w:lang w:val="en-US" w:eastAsia="zh-CN"/>
        </w:rPr>
      </w:pPr>
    </w:p>
    <w:p w14:paraId="4DBD1F65">
      <w:pPr>
        <w:tabs>
          <w:tab w:val="left" w:pos="786"/>
        </w:tabs>
        <w:bidi w:val="0"/>
        <w:jc w:val="left"/>
        <w:rPr>
          <w:rFonts w:hint="eastAsia"/>
          <w:lang w:val="en-US" w:eastAsia="zh-CN"/>
        </w:rPr>
      </w:pPr>
    </w:p>
    <w:p w14:paraId="0613C416">
      <w:pPr>
        <w:tabs>
          <w:tab w:val="left" w:pos="786"/>
        </w:tabs>
        <w:bidi w:val="0"/>
        <w:jc w:val="left"/>
        <w:rPr>
          <w:rFonts w:hint="eastAsia"/>
          <w:lang w:val="en-US" w:eastAsia="zh-CN"/>
        </w:rPr>
      </w:pPr>
    </w:p>
    <w:p w14:paraId="4CDCD832">
      <w:pPr>
        <w:tabs>
          <w:tab w:val="left" w:pos="786"/>
        </w:tabs>
        <w:bidi w:val="0"/>
        <w:jc w:val="left"/>
        <w:rPr>
          <w:rFonts w:hint="eastAsia"/>
          <w:lang w:val="en-US" w:eastAsia="zh-CN"/>
        </w:rPr>
      </w:pPr>
    </w:p>
    <w:p w14:paraId="5DF63585">
      <w:pPr>
        <w:tabs>
          <w:tab w:val="left" w:pos="786"/>
        </w:tabs>
        <w:bidi w:val="0"/>
        <w:jc w:val="left"/>
        <w:rPr>
          <w:rFonts w:hint="eastAsia"/>
          <w:lang w:val="en-US" w:eastAsia="zh-CN"/>
        </w:rPr>
      </w:pPr>
    </w:p>
    <w:p w14:paraId="4498D350">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p>
    <w:p w14:paraId="0EF427C3">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p>
    <w:p w14:paraId="2ACED619">
      <w:pPr>
        <w:pStyle w:val="2"/>
        <w:keepNext/>
        <w:keepLines/>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宋体" w:hAnsi="宋体" w:eastAsia="宋体" w:cs="宋体"/>
          <w:b/>
          <w:lang w:val="en-US" w:eastAsia="zh-CN"/>
        </w:rPr>
      </w:pPr>
    </w:p>
    <w:p w14:paraId="77919281">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p>
    <w:bookmarkEnd w:id="367"/>
    <w:p w14:paraId="5CB1915F">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68" w:name="_Toc3149"/>
    </w:p>
    <w:p w14:paraId="36D76874">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bookmarkStart w:id="369" w:name="_Toc5524"/>
      <w:r>
        <w:rPr>
          <w:rFonts w:hint="eastAsia" w:ascii="宋体" w:hAnsi="宋体" w:eastAsia="宋体" w:cs="宋体"/>
          <w:b/>
          <w:lang w:val="en-US" w:eastAsia="zh-CN"/>
        </w:rPr>
        <w:t>第4章评价单元划分</w:t>
      </w:r>
      <w:bookmarkEnd w:id="369"/>
    </w:p>
    <w:p w14:paraId="0CDDCBE8">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70" w:name="_Toc4869"/>
      <w:r>
        <w:rPr>
          <w:rFonts w:hint="eastAsia" w:ascii="宋体" w:hAnsi="宋体" w:eastAsia="宋体" w:cs="宋体"/>
          <w:b/>
          <w:smallCaps/>
          <w:color w:val="auto"/>
          <w:kern w:val="0"/>
          <w:szCs w:val="20"/>
          <w:lang w:val="en-US" w:eastAsia="zh-CN"/>
        </w:rPr>
        <w:t>4.1安全评价单元划分</w:t>
      </w:r>
      <w:bookmarkEnd w:id="368"/>
      <w:bookmarkEnd w:id="370"/>
    </w:p>
    <w:p w14:paraId="32CC591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常用的评价单元划分方法有：</w:t>
      </w:r>
    </w:p>
    <w:p w14:paraId="336D9E0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outlineLvl w:val="9"/>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1.以危险、有害因素的类别为主划分评价单元。</w:t>
      </w:r>
    </w:p>
    <w:p w14:paraId="7412DB47">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1）对工艺方案、总体布置及自然条件、环境对系统影响等综合方面的危险、有害因素的分析和评价，可将整个系统作为一个评价单元；</w:t>
      </w:r>
    </w:p>
    <w:p w14:paraId="68B1969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2）将具有共性危险因素、有害因素的场所和装置划为一个单元。</w:t>
      </w:r>
    </w:p>
    <w:p w14:paraId="08EAFCB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outlineLvl w:val="9"/>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2.以装置和物质特征划分评价单元。</w:t>
      </w:r>
    </w:p>
    <w:p w14:paraId="302E3D50">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1）按装置工艺功能划分；</w:t>
      </w:r>
    </w:p>
    <w:p w14:paraId="17AD0A9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2）按布置的相对独立性划分；</w:t>
      </w:r>
    </w:p>
    <w:p w14:paraId="240CB96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3）按工艺条件划分评价单元；</w:t>
      </w:r>
    </w:p>
    <w:p w14:paraId="1B6A7DFA">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4）按贮存、处理危险物品的潜在化学能、毒性和危险物品的数量划分评价单元；</w:t>
      </w:r>
    </w:p>
    <w:p w14:paraId="0DAD9B9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5）根据以往事故资料，将发生事故能导致停产、波及范围大、造成巨大损失和伤害的关键设备作为一个单元；</w:t>
      </w:r>
    </w:p>
    <w:p w14:paraId="7FA016D9">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6）将危险性大且资金密度大的区域作为一个评价单元；</w:t>
      </w:r>
    </w:p>
    <w:p w14:paraId="47772AD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7）将危险性特别大的区域、装置作为一个评价单元；</w:t>
      </w:r>
    </w:p>
    <w:p w14:paraId="62E5023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8）将具有类似危险性潜能的单元合并为一个大单元。</w:t>
      </w:r>
    </w:p>
    <w:p w14:paraId="6C5D3B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根据上述安全评价单元的划分原则和方法，将该项目分为6个评价单元进行安全评价。评价单元划分结果如下：</w:t>
      </w:r>
    </w:p>
    <w:p w14:paraId="2486D41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1.危险危害度评价及可能发生的事故风险分析单元</w:t>
      </w:r>
    </w:p>
    <w:p w14:paraId="2C0CC63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2.站址与总平面布置评价单元；</w:t>
      </w:r>
    </w:p>
    <w:p w14:paraId="1ABDE84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（1）站址子评价单元；</w:t>
      </w:r>
    </w:p>
    <w:p w14:paraId="10C55F9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（2）总平面布置子评价单元；</w:t>
      </w:r>
    </w:p>
    <w:p w14:paraId="6824D85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3.工艺及设施评价单元；</w:t>
      </w:r>
    </w:p>
    <w:p w14:paraId="12C28FE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4.公用工程评价单元</w:t>
      </w:r>
    </w:p>
    <w:p w14:paraId="06E36B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（1）消防设施及给排水子评价单元；</w:t>
      </w:r>
    </w:p>
    <w:p w14:paraId="4BC18A7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（2）电气子评价单元；</w:t>
      </w:r>
    </w:p>
    <w:p w14:paraId="0FA898E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（3）建（构）筑物子评价单元。</w:t>
      </w:r>
    </w:p>
    <w:p w14:paraId="7311A3F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5.安全管理评价单元；</w:t>
      </w:r>
    </w:p>
    <w:p w14:paraId="6BF8AFE7">
      <w:pPr>
        <w:keepNext w:val="0"/>
        <w:keepLines w:val="0"/>
        <w:pageBreakBefore w:val="0"/>
        <w:widowControl w:val="0"/>
        <w:kinsoku/>
        <w:wordWrap/>
        <w:overflowPunct/>
        <w:topLinePunct w:val="0"/>
        <w:autoSpaceDE/>
        <w:autoSpaceDN/>
        <w:bidi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6.安全</w:t>
      </w:r>
      <w:r>
        <w:rPr>
          <w:rFonts w:hint="eastAsia" w:ascii="宋体" w:hAnsi="宋体" w:cs="宋体"/>
          <w:snapToGrid/>
          <w:color w:val="000000" w:themeColor="text1"/>
          <w:kern w:val="0"/>
          <w:sz w:val="28"/>
          <w:szCs w:val="28"/>
          <w:lang w:val="en-US" w:eastAsia="zh-CN" w:bidi="ar-SA"/>
          <w14:textFill>
            <w14:solidFill>
              <w14:schemeClr w14:val="tx1"/>
            </w14:solidFill>
          </w14:textFill>
        </w:rPr>
        <w:t>经营</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条件单元。</w:t>
      </w:r>
    </w:p>
    <w:p w14:paraId="5614072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71" w:name="_Toc21985"/>
      <w:bookmarkStart w:id="372" w:name="_Toc14264"/>
      <w:bookmarkStart w:id="373" w:name="_Toc4537"/>
      <w:bookmarkStart w:id="374" w:name="_Toc12533"/>
      <w:r>
        <w:rPr>
          <w:rFonts w:hint="eastAsia" w:ascii="宋体" w:hAnsi="宋体" w:eastAsia="宋体" w:cs="宋体"/>
          <w:b/>
          <w:smallCaps/>
          <w:color w:val="auto"/>
          <w:kern w:val="0"/>
          <w:szCs w:val="20"/>
          <w:lang w:val="en-US" w:eastAsia="zh-CN"/>
        </w:rPr>
        <w:t>4.2评价单元划分的理由</w:t>
      </w:r>
      <w:bookmarkEnd w:id="371"/>
      <w:bookmarkEnd w:id="372"/>
      <w:bookmarkEnd w:id="373"/>
      <w:bookmarkEnd w:id="374"/>
    </w:p>
    <w:p w14:paraId="3F8948C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评价单元划分是在对危险、有害因素辨析的基础上，根据评价目的和评价方法的需要，将系统划分成若干需要评价的单元，以提高评价的客观性和准确性。划分评价单元的方法很多，最基础的方法有：以危险和有害因素的类别划分评价单元；以装置特征和物质特性划分评价单元；依据评价方法的有关规定划分评价单元等。</w:t>
      </w:r>
    </w:p>
    <w:p w14:paraId="62C5BF4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项目以装置布置的相对独立性来划分评价单元。本项目划分为6个评价单元，每个单元包括有相应的子单元，所划分的评价单元包含了项目总平面布置、主要装置、工艺管道、建构筑物、公用设施、安全管理及项目的风险程度、风险分级、安全条件等，也能够满足安全评价的需要。</w:t>
      </w:r>
    </w:p>
    <w:p w14:paraId="640BE803">
      <w:pPr>
        <w:tabs>
          <w:tab w:val="left" w:pos="786"/>
        </w:tabs>
        <w:bidi w:val="0"/>
        <w:jc w:val="left"/>
        <w:rPr>
          <w:rFonts w:hint="eastAsia"/>
          <w:lang w:val="en-US" w:eastAsia="zh-CN"/>
        </w:rPr>
      </w:pPr>
    </w:p>
    <w:p w14:paraId="4F366BE8">
      <w:pPr>
        <w:bidi w:val="0"/>
        <w:rPr>
          <w:rFonts w:hint="eastAsia" w:ascii="Times New Roman" w:hAnsi="Times New Roman" w:eastAsia="宋体" w:cs="Times New Roman"/>
          <w:kern w:val="2"/>
          <w:sz w:val="21"/>
          <w:szCs w:val="24"/>
          <w:lang w:val="en-US" w:eastAsia="zh-CN" w:bidi="ar-SA"/>
        </w:rPr>
      </w:pPr>
    </w:p>
    <w:p w14:paraId="004767AE">
      <w:pPr>
        <w:bidi w:val="0"/>
        <w:rPr>
          <w:rFonts w:hint="eastAsia"/>
          <w:lang w:val="en-US" w:eastAsia="zh-CN"/>
        </w:rPr>
      </w:pPr>
    </w:p>
    <w:p w14:paraId="7A8B06D7">
      <w:pPr>
        <w:bidi w:val="0"/>
        <w:rPr>
          <w:rFonts w:hint="eastAsia"/>
          <w:lang w:val="en-US" w:eastAsia="zh-CN"/>
        </w:rPr>
      </w:pPr>
    </w:p>
    <w:p w14:paraId="7CB69A8F">
      <w:pPr>
        <w:bidi w:val="0"/>
        <w:rPr>
          <w:rFonts w:hint="eastAsia"/>
          <w:lang w:val="en-US" w:eastAsia="zh-CN"/>
        </w:rPr>
      </w:pPr>
    </w:p>
    <w:p w14:paraId="6A405387">
      <w:pPr>
        <w:bidi w:val="0"/>
        <w:rPr>
          <w:rFonts w:hint="eastAsia"/>
          <w:lang w:val="en-US" w:eastAsia="zh-CN"/>
        </w:rPr>
      </w:pPr>
    </w:p>
    <w:p w14:paraId="7062754A">
      <w:pPr>
        <w:bidi w:val="0"/>
        <w:rPr>
          <w:rFonts w:hint="eastAsia"/>
          <w:lang w:val="en-US" w:eastAsia="zh-CN"/>
        </w:rPr>
      </w:pPr>
    </w:p>
    <w:p w14:paraId="0F939703">
      <w:pPr>
        <w:bidi w:val="0"/>
        <w:rPr>
          <w:rFonts w:hint="eastAsia"/>
          <w:lang w:val="en-US" w:eastAsia="zh-CN"/>
        </w:rPr>
      </w:pPr>
    </w:p>
    <w:p w14:paraId="121C10C7">
      <w:pPr>
        <w:bidi w:val="0"/>
        <w:rPr>
          <w:rFonts w:hint="eastAsia"/>
          <w:lang w:val="en-US" w:eastAsia="zh-CN"/>
        </w:rPr>
      </w:pPr>
    </w:p>
    <w:p w14:paraId="12D05019">
      <w:pPr>
        <w:bidi w:val="0"/>
        <w:rPr>
          <w:rFonts w:hint="eastAsia"/>
          <w:lang w:val="en-US" w:eastAsia="zh-CN"/>
        </w:rPr>
      </w:pPr>
    </w:p>
    <w:p w14:paraId="5916A63C">
      <w:pPr>
        <w:bidi w:val="0"/>
        <w:ind w:firstLine="376" w:firstLineChars="0"/>
        <w:jc w:val="left"/>
        <w:rPr>
          <w:rFonts w:hint="eastAsia"/>
          <w:lang w:val="en-US" w:eastAsia="zh-CN"/>
        </w:rPr>
      </w:pPr>
    </w:p>
    <w:p w14:paraId="140DD5C6">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bookmarkStart w:id="375" w:name="_Toc4459"/>
      <w:bookmarkStart w:id="376" w:name="_Toc25907"/>
      <w:bookmarkStart w:id="377" w:name="_Toc25996"/>
      <w:bookmarkStart w:id="378" w:name="_Toc31150"/>
      <w:r>
        <w:rPr>
          <w:rFonts w:hint="eastAsia" w:ascii="宋体" w:hAnsi="宋体" w:eastAsia="宋体" w:cs="宋体"/>
          <w:b/>
          <w:lang w:val="en-US" w:eastAsia="zh-CN"/>
        </w:rPr>
        <w:t>第5章评价方法选择</w:t>
      </w:r>
      <w:bookmarkEnd w:id="375"/>
      <w:bookmarkEnd w:id="376"/>
      <w:bookmarkEnd w:id="377"/>
      <w:bookmarkEnd w:id="378"/>
    </w:p>
    <w:p w14:paraId="31A850B2">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79" w:name="_Toc8669"/>
      <w:bookmarkStart w:id="380" w:name="_Toc26878"/>
      <w:bookmarkStart w:id="381" w:name="_Toc4762"/>
      <w:bookmarkStart w:id="382" w:name="_Toc23402"/>
      <w:r>
        <w:rPr>
          <w:rFonts w:hint="eastAsia" w:ascii="宋体" w:hAnsi="宋体" w:eastAsia="宋体" w:cs="宋体"/>
          <w:b/>
          <w:smallCaps/>
          <w:color w:val="auto"/>
          <w:kern w:val="0"/>
          <w:szCs w:val="20"/>
          <w:lang w:val="en-US" w:eastAsia="zh-CN"/>
        </w:rPr>
        <w:t>5.1采用的安全评价方法</w:t>
      </w:r>
      <w:bookmarkEnd w:id="379"/>
      <w:bookmarkEnd w:id="380"/>
      <w:bookmarkEnd w:id="381"/>
      <w:bookmarkEnd w:id="382"/>
    </w:p>
    <w:p w14:paraId="0F2965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根据该加油站的实际情况，本次评价采用的安全评价方法如下：</w:t>
      </w:r>
    </w:p>
    <w:p w14:paraId="21DC63A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1.安全检查表；</w:t>
      </w:r>
    </w:p>
    <w:p w14:paraId="2FCE843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2.作业条件危险性评价法；</w:t>
      </w:r>
    </w:p>
    <w:p w14:paraId="7A51AF9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3.地下储罐爆炸的伤害模型计算法；</w:t>
      </w:r>
    </w:p>
    <w:p w14:paraId="1952EF67">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83" w:name="_Toc17344"/>
      <w:bookmarkStart w:id="384" w:name="_Toc21941"/>
      <w:bookmarkStart w:id="385" w:name="_Toc32717"/>
      <w:bookmarkStart w:id="386" w:name="_Toc5867"/>
      <w:r>
        <w:rPr>
          <w:rFonts w:hint="eastAsia" w:ascii="宋体" w:hAnsi="宋体" w:eastAsia="宋体" w:cs="宋体"/>
          <w:b/>
          <w:color w:val="000000" w:themeColor="text1"/>
          <w:sz w:val="30"/>
          <w:szCs w:val="30"/>
          <w:lang w:val="en-US" w:eastAsia="zh-CN"/>
          <w14:textFill>
            <w14:solidFill>
              <w14:schemeClr w14:val="tx1"/>
            </w14:solidFill>
          </w14:textFill>
        </w:rPr>
        <w:t>5.1.1安全检查表</w:t>
      </w:r>
      <w:bookmarkEnd w:id="383"/>
      <w:bookmarkEnd w:id="384"/>
      <w:bookmarkEnd w:id="385"/>
      <w:bookmarkEnd w:id="386"/>
    </w:p>
    <w:p w14:paraId="31173E6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在安全系统工程中，安全检查表法是安全管理中最基础、最初步的一种方法。对于给定系统来说，安全检查表不仅是实施安全检查和诊断的一种有效的工具，也是发现潜在危险，旨在预防的有效手段，同时还是查找事故原因的一种方法。</w:t>
      </w:r>
    </w:p>
    <w:p w14:paraId="66C995A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安全检查表是一份进行安全检查或出了事故进行诊断的项目明细表，通常检查人员根据现场工艺特点、生产装置情况、安全标准规范以及事故教训等进行周密考虑，将系统中需要查明的问题或需要检查的项目一一列在表上，以备安全检查和事故分析查询时使用。使用时按项目可用“是”或“否”，用“√”或“×”,或用简单参数进行回答。</w:t>
      </w:r>
    </w:p>
    <w:p w14:paraId="62052F3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安全检查表的优缺点：</w:t>
      </w:r>
    </w:p>
    <w:p w14:paraId="1FFF612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1）优点</w:t>
      </w:r>
    </w:p>
    <w:p w14:paraId="7B1A13B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（1）避免传统的安全检查中易发生的疏忽、遗漏等弊端，可全面地查出危险、有害因素（包括各类隐患）和工作漏项。</w:t>
      </w:r>
    </w:p>
    <w:p w14:paraId="77D52C1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（2）应用预先编制的系统检查表并依据有关法规、标准在检查表中列出了检查要求，使检查工作标准化、规范化。</w:t>
      </w:r>
    </w:p>
    <w:p w14:paraId="0BAFD40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（3）对不同的检查对象、检查目的有不同的检查表，应用范围广。</w:t>
      </w:r>
    </w:p>
    <w:p w14:paraId="0AA6259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（4）安全检查表简明易懂、使用方便、易于掌握，能弥补有关人员知识、经验不足的缺陷，减少盲目性。</w:t>
      </w:r>
    </w:p>
    <w:p w14:paraId="00F868E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（5）检查人员依据安全检查表进行检查，检查结果即为履行职责的凭证。</w:t>
      </w:r>
    </w:p>
    <w:p w14:paraId="33F1546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2）缺点</w:t>
      </w:r>
    </w:p>
    <w:p w14:paraId="1F3E85B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针对不同的需要，须事先编制大量的检查表，工作量大，且安全检查表的质量受编制人员的知识水平和经验影响。</w:t>
      </w:r>
    </w:p>
    <w:p w14:paraId="04CBF2AD">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87" w:name="_Toc25068"/>
      <w:bookmarkStart w:id="388" w:name="_Toc16498"/>
      <w:bookmarkStart w:id="389" w:name="_Toc23134"/>
      <w:bookmarkStart w:id="390" w:name="_Toc29050"/>
      <w:r>
        <w:rPr>
          <w:rFonts w:hint="eastAsia" w:ascii="宋体" w:hAnsi="宋体" w:eastAsia="宋体" w:cs="宋体"/>
          <w:b/>
          <w:color w:val="000000" w:themeColor="text1"/>
          <w:sz w:val="30"/>
          <w:szCs w:val="30"/>
          <w:lang w:val="en-US" w:eastAsia="zh-CN"/>
          <w14:textFill>
            <w14:solidFill>
              <w14:schemeClr w14:val="tx1"/>
            </w14:solidFill>
          </w14:textFill>
        </w:rPr>
        <w:t>5.1.2作业条件危险性评价法（格雷厄姆法）简介</w:t>
      </w:r>
      <w:bookmarkEnd w:id="387"/>
      <w:bookmarkEnd w:id="388"/>
      <w:bookmarkEnd w:id="389"/>
      <w:bookmarkEnd w:id="390"/>
    </w:p>
    <w:p w14:paraId="7F95DF4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作业条件危险性评价法是一种简便易行的评价方法，用来评价人们在某种具有潜在危险环境中作业的危险性。该法以被评价的环境与某些作为参考的环境进行比较为基础，采用专家“评分”的办法确定各种自变量的分数值，最后根据总的危险分数值来评价其危险性。该法已用于一些工业企业危险性的评价，取得较好效果。所以本评价项目中采用格雷厄姆法来对该项目的卸油、加油、储存、供配电的危险性进行评价。</w:t>
      </w:r>
    </w:p>
    <w:p w14:paraId="374B0B8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格雷厄姆和金尼认为影响危险性的主要因素有三个：</w:t>
      </w:r>
    </w:p>
    <w:p w14:paraId="0E7AA5F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1.发生事故或危险事件的可能性；</w:t>
      </w:r>
    </w:p>
    <w:p w14:paraId="2F1F2CA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2.暴露于这种危险环境的频率；</w:t>
      </w:r>
    </w:p>
    <w:p w14:paraId="15A3118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3.事故一旦发生时可能产生的后果。</w:t>
      </w:r>
    </w:p>
    <w:p w14:paraId="1F5EC0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前两者可以看作是危险概率，后者则相当于危险严重度。这样，危险性</w:t>
      </w:r>
    </w:p>
    <w:p w14:paraId="6C11E3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可以下式来表达：</w:t>
      </w:r>
    </w:p>
    <w:p w14:paraId="15B26A0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危险性（D）＝L×E×C</w:t>
      </w:r>
    </w:p>
    <w:p w14:paraId="5A3E1B0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式中：</w:t>
      </w:r>
    </w:p>
    <w:p w14:paraId="5A77895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L――事故或危险事件发生的可能性；</w:t>
      </w:r>
    </w:p>
    <w:p w14:paraId="3574272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E――暴露于危险环境的频率；</w:t>
      </w:r>
    </w:p>
    <w:p w14:paraId="3E7F2EE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C――危险严重度。</w:t>
      </w:r>
    </w:p>
    <w:p w14:paraId="16EF6DA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1）可能性因素L</w:t>
      </w:r>
    </w:p>
    <w:p w14:paraId="5475DDA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事故或危险事件发生的可能性是与它们实际的数学概率相关联的。绝对不可能发生的事件的概率为0，而必然发生的事件的概率则为1。但在实际情况中，绝对不可能发生的事故是不存在的，只能说可能性极小，概率趋于0。所以，可能性因素L的分数值取值范围为1～10具体见表5-1。</w:t>
      </w:r>
    </w:p>
    <w:p w14:paraId="552E8D0A">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表5-1事故或危险事件发生的可能性L的分数值表</w:t>
      </w:r>
    </w:p>
    <w:tbl>
      <w:tblPr>
        <w:tblStyle w:val="41"/>
        <w:tblW w:w="6909" w:type="dxa"/>
        <w:tblInd w:w="10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2"/>
        <w:gridCol w:w="4067"/>
      </w:tblGrid>
      <w:tr w14:paraId="635FF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42" w:type="dxa"/>
            <w:vAlign w:val="center"/>
          </w:tcPr>
          <w:p w14:paraId="453E9818">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分数值</w:t>
            </w:r>
          </w:p>
        </w:tc>
        <w:tc>
          <w:tcPr>
            <w:tcW w:w="4067" w:type="dxa"/>
            <w:vAlign w:val="center"/>
          </w:tcPr>
          <w:p w14:paraId="7F97CF4C">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事故或危险事件发生的可能性</w:t>
            </w:r>
          </w:p>
        </w:tc>
      </w:tr>
      <w:tr w14:paraId="5D75C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842" w:type="dxa"/>
            <w:vAlign w:val="center"/>
          </w:tcPr>
          <w:p w14:paraId="3E0621F8">
            <w:pPr>
              <w:keepNext w:val="0"/>
              <w:keepLines w:val="0"/>
              <w:pageBreakBefore w:val="0"/>
              <w:widowControl w:val="0"/>
              <w:kinsoku/>
              <w:wordWrap/>
              <w:overflowPunct/>
              <w:topLinePunct w:val="0"/>
              <w:autoSpaceDE/>
              <w:autoSpaceDN/>
              <w:bidi w:val="0"/>
              <w:spacing w:line="500" w:lineRule="exact"/>
              <w:jc w:val="center"/>
              <w:textAlignment w:val="auto"/>
            </w:pPr>
            <w:r>
              <w:t>10</w:t>
            </w:r>
          </w:p>
        </w:tc>
        <w:tc>
          <w:tcPr>
            <w:tcW w:w="4067" w:type="dxa"/>
            <w:vAlign w:val="center"/>
          </w:tcPr>
          <w:p w14:paraId="5FA995C5">
            <w:pPr>
              <w:keepNext w:val="0"/>
              <w:keepLines w:val="0"/>
              <w:pageBreakBefore w:val="0"/>
              <w:widowControl w:val="0"/>
              <w:kinsoku/>
              <w:wordWrap/>
              <w:overflowPunct/>
              <w:topLinePunct w:val="0"/>
              <w:autoSpaceDE/>
              <w:autoSpaceDN/>
              <w:bidi w:val="0"/>
              <w:spacing w:line="500" w:lineRule="exact"/>
              <w:jc w:val="center"/>
              <w:textAlignment w:val="auto"/>
            </w:pPr>
            <w:r>
              <w:t>完全会被预料到</w:t>
            </w:r>
          </w:p>
        </w:tc>
      </w:tr>
      <w:tr w14:paraId="4D844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842" w:type="dxa"/>
            <w:vAlign w:val="center"/>
          </w:tcPr>
          <w:p w14:paraId="4D0152DB">
            <w:pPr>
              <w:keepNext w:val="0"/>
              <w:keepLines w:val="0"/>
              <w:pageBreakBefore w:val="0"/>
              <w:widowControl w:val="0"/>
              <w:kinsoku/>
              <w:wordWrap/>
              <w:overflowPunct/>
              <w:topLinePunct w:val="0"/>
              <w:autoSpaceDE/>
              <w:autoSpaceDN/>
              <w:bidi w:val="0"/>
              <w:spacing w:line="500" w:lineRule="exact"/>
              <w:jc w:val="center"/>
              <w:textAlignment w:val="auto"/>
            </w:pPr>
            <w:r>
              <w:t>6</w:t>
            </w:r>
          </w:p>
        </w:tc>
        <w:tc>
          <w:tcPr>
            <w:tcW w:w="4067" w:type="dxa"/>
            <w:vAlign w:val="center"/>
          </w:tcPr>
          <w:p w14:paraId="4E7B376A">
            <w:pPr>
              <w:keepNext w:val="0"/>
              <w:keepLines w:val="0"/>
              <w:pageBreakBefore w:val="0"/>
              <w:widowControl w:val="0"/>
              <w:kinsoku/>
              <w:wordWrap/>
              <w:overflowPunct/>
              <w:topLinePunct w:val="0"/>
              <w:autoSpaceDE/>
              <w:autoSpaceDN/>
              <w:bidi w:val="0"/>
              <w:spacing w:line="500" w:lineRule="exact"/>
              <w:jc w:val="center"/>
              <w:textAlignment w:val="auto"/>
            </w:pPr>
            <w:r>
              <w:t>相当可能</w:t>
            </w:r>
          </w:p>
        </w:tc>
      </w:tr>
      <w:tr w14:paraId="36126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842" w:type="dxa"/>
            <w:vAlign w:val="center"/>
          </w:tcPr>
          <w:p w14:paraId="5CA31FF8">
            <w:pPr>
              <w:keepNext w:val="0"/>
              <w:keepLines w:val="0"/>
              <w:pageBreakBefore w:val="0"/>
              <w:widowControl w:val="0"/>
              <w:kinsoku/>
              <w:wordWrap/>
              <w:overflowPunct/>
              <w:topLinePunct w:val="0"/>
              <w:autoSpaceDE/>
              <w:autoSpaceDN/>
              <w:bidi w:val="0"/>
              <w:spacing w:line="500" w:lineRule="exact"/>
              <w:jc w:val="center"/>
              <w:textAlignment w:val="auto"/>
            </w:pPr>
            <w:r>
              <w:t>3</w:t>
            </w:r>
          </w:p>
        </w:tc>
        <w:tc>
          <w:tcPr>
            <w:tcW w:w="4067" w:type="dxa"/>
            <w:vAlign w:val="center"/>
          </w:tcPr>
          <w:p w14:paraId="7C1C5463">
            <w:pPr>
              <w:keepNext w:val="0"/>
              <w:keepLines w:val="0"/>
              <w:pageBreakBefore w:val="0"/>
              <w:widowControl w:val="0"/>
              <w:kinsoku/>
              <w:wordWrap/>
              <w:overflowPunct/>
              <w:topLinePunct w:val="0"/>
              <w:autoSpaceDE/>
              <w:autoSpaceDN/>
              <w:bidi w:val="0"/>
              <w:spacing w:line="500" w:lineRule="exact"/>
              <w:jc w:val="center"/>
              <w:textAlignment w:val="auto"/>
            </w:pPr>
            <w:r>
              <w:t>不经常，但可能</w:t>
            </w:r>
          </w:p>
        </w:tc>
      </w:tr>
      <w:tr w14:paraId="0068F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842" w:type="dxa"/>
            <w:vAlign w:val="center"/>
          </w:tcPr>
          <w:p w14:paraId="64F37BEB">
            <w:pPr>
              <w:keepNext w:val="0"/>
              <w:keepLines w:val="0"/>
              <w:pageBreakBefore w:val="0"/>
              <w:widowControl w:val="0"/>
              <w:kinsoku/>
              <w:wordWrap/>
              <w:overflowPunct/>
              <w:topLinePunct w:val="0"/>
              <w:autoSpaceDE/>
              <w:autoSpaceDN/>
              <w:bidi w:val="0"/>
              <w:spacing w:line="500" w:lineRule="exact"/>
              <w:jc w:val="center"/>
              <w:textAlignment w:val="auto"/>
            </w:pPr>
            <w:r>
              <w:t>1</w:t>
            </w:r>
          </w:p>
        </w:tc>
        <w:tc>
          <w:tcPr>
            <w:tcW w:w="4067" w:type="dxa"/>
            <w:vAlign w:val="center"/>
          </w:tcPr>
          <w:p w14:paraId="02985CFD">
            <w:pPr>
              <w:keepNext w:val="0"/>
              <w:keepLines w:val="0"/>
              <w:pageBreakBefore w:val="0"/>
              <w:widowControl w:val="0"/>
              <w:kinsoku/>
              <w:wordWrap/>
              <w:overflowPunct/>
              <w:topLinePunct w:val="0"/>
              <w:autoSpaceDE/>
              <w:autoSpaceDN/>
              <w:bidi w:val="0"/>
              <w:spacing w:line="500" w:lineRule="exact"/>
              <w:jc w:val="center"/>
              <w:textAlignment w:val="auto"/>
            </w:pPr>
            <w:r>
              <w:t>完全意外，极少可能</w:t>
            </w:r>
          </w:p>
        </w:tc>
      </w:tr>
      <w:tr w14:paraId="03F06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842" w:type="dxa"/>
            <w:vAlign w:val="center"/>
          </w:tcPr>
          <w:p w14:paraId="0EF9239D">
            <w:pPr>
              <w:keepNext w:val="0"/>
              <w:keepLines w:val="0"/>
              <w:pageBreakBefore w:val="0"/>
              <w:widowControl w:val="0"/>
              <w:kinsoku/>
              <w:wordWrap/>
              <w:overflowPunct/>
              <w:topLinePunct w:val="0"/>
              <w:autoSpaceDE/>
              <w:autoSpaceDN/>
              <w:bidi w:val="0"/>
              <w:spacing w:line="500" w:lineRule="exact"/>
              <w:jc w:val="center"/>
              <w:textAlignment w:val="auto"/>
            </w:pPr>
            <w:r>
              <w:t>0.5</w:t>
            </w:r>
          </w:p>
        </w:tc>
        <w:tc>
          <w:tcPr>
            <w:tcW w:w="4067" w:type="dxa"/>
            <w:vAlign w:val="center"/>
          </w:tcPr>
          <w:p w14:paraId="1B050A16">
            <w:pPr>
              <w:keepNext w:val="0"/>
              <w:keepLines w:val="0"/>
              <w:pageBreakBefore w:val="0"/>
              <w:widowControl w:val="0"/>
              <w:kinsoku/>
              <w:wordWrap/>
              <w:overflowPunct/>
              <w:topLinePunct w:val="0"/>
              <w:autoSpaceDE/>
              <w:autoSpaceDN/>
              <w:bidi w:val="0"/>
              <w:spacing w:line="500" w:lineRule="exact"/>
              <w:jc w:val="center"/>
              <w:textAlignment w:val="auto"/>
            </w:pPr>
            <w:r>
              <w:t>可以设想，但高度不可能</w:t>
            </w:r>
          </w:p>
        </w:tc>
      </w:tr>
      <w:tr w14:paraId="1A2C3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842" w:type="dxa"/>
            <w:vAlign w:val="center"/>
          </w:tcPr>
          <w:p w14:paraId="53CF62DD">
            <w:pPr>
              <w:keepNext w:val="0"/>
              <w:keepLines w:val="0"/>
              <w:pageBreakBefore w:val="0"/>
              <w:widowControl w:val="0"/>
              <w:kinsoku/>
              <w:wordWrap/>
              <w:overflowPunct/>
              <w:topLinePunct w:val="0"/>
              <w:autoSpaceDE/>
              <w:autoSpaceDN/>
              <w:bidi w:val="0"/>
              <w:spacing w:line="500" w:lineRule="exact"/>
              <w:jc w:val="center"/>
              <w:textAlignment w:val="auto"/>
            </w:pPr>
            <w:r>
              <w:t>0.2</w:t>
            </w:r>
          </w:p>
        </w:tc>
        <w:tc>
          <w:tcPr>
            <w:tcW w:w="4067" w:type="dxa"/>
            <w:vAlign w:val="center"/>
          </w:tcPr>
          <w:p w14:paraId="13B8031E">
            <w:pPr>
              <w:keepNext w:val="0"/>
              <w:keepLines w:val="0"/>
              <w:pageBreakBefore w:val="0"/>
              <w:widowControl w:val="0"/>
              <w:kinsoku/>
              <w:wordWrap/>
              <w:overflowPunct/>
              <w:topLinePunct w:val="0"/>
              <w:autoSpaceDE/>
              <w:autoSpaceDN/>
              <w:bidi w:val="0"/>
              <w:spacing w:line="500" w:lineRule="exact"/>
              <w:jc w:val="center"/>
              <w:textAlignment w:val="auto"/>
            </w:pPr>
            <w:r>
              <w:t>极不可能</w:t>
            </w:r>
          </w:p>
        </w:tc>
      </w:tr>
      <w:tr w14:paraId="1A648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42" w:type="dxa"/>
            <w:vAlign w:val="center"/>
          </w:tcPr>
          <w:p w14:paraId="30473A6C">
            <w:pPr>
              <w:keepNext w:val="0"/>
              <w:keepLines w:val="0"/>
              <w:pageBreakBefore w:val="0"/>
              <w:widowControl w:val="0"/>
              <w:kinsoku/>
              <w:wordWrap/>
              <w:overflowPunct/>
              <w:topLinePunct w:val="0"/>
              <w:autoSpaceDE/>
              <w:autoSpaceDN/>
              <w:bidi w:val="0"/>
              <w:spacing w:line="500" w:lineRule="exact"/>
              <w:jc w:val="center"/>
              <w:textAlignment w:val="auto"/>
            </w:pPr>
            <w:r>
              <w:t>0.1</w:t>
            </w:r>
          </w:p>
        </w:tc>
        <w:tc>
          <w:tcPr>
            <w:tcW w:w="4067" w:type="dxa"/>
            <w:vAlign w:val="center"/>
          </w:tcPr>
          <w:p w14:paraId="119D12F0">
            <w:pPr>
              <w:keepNext w:val="0"/>
              <w:keepLines w:val="0"/>
              <w:pageBreakBefore w:val="0"/>
              <w:widowControl w:val="0"/>
              <w:kinsoku/>
              <w:wordWrap/>
              <w:overflowPunct/>
              <w:topLinePunct w:val="0"/>
              <w:autoSpaceDE/>
              <w:autoSpaceDN/>
              <w:bidi w:val="0"/>
              <w:spacing w:line="500" w:lineRule="exact"/>
              <w:jc w:val="center"/>
              <w:textAlignment w:val="auto"/>
            </w:pPr>
            <w:r>
              <w:t>实际上不可能</w:t>
            </w:r>
          </w:p>
        </w:tc>
      </w:tr>
    </w:tbl>
    <w:p w14:paraId="4010636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2）暴露于危险环境的频率E</w:t>
      </w:r>
    </w:p>
    <w:p w14:paraId="3B36078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操作人员出现在危险环境中的时间越多，受到伤害的可能性就越大，相应的危险性也就越大。连续出现在危险环境的情况其频率分为10，非常罕见地暴露于危险环境则为0.5。具体分数值见表5-2。</w:t>
      </w:r>
    </w:p>
    <w:p w14:paraId="4E0D9679">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表5-2暴露于潜在危险环境频率E的分数值</w:t>
      </w:r>
    </w:p>
    <w:tbl>
      <w:tblPr>
        <w:tblStyle w:val="41"/>
        <w:tblW w:w="6900" w:type="dxa"/>
        <w:tblInd w:w="10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6"/>
        <w:gridCol w:w="4064"/>
      </w:tblGrid>
      <w:tr w14:paraId="2ACEF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836" w:type="dxa"/>
            <w:vAlign w:val="top"/>
          </w:tcPr>
          <w:p w14:paraId="73DF1A23">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分数值</w:t>
            </w:r>
          </w:p>
        </w:tc>
        <w:tc>
          <w:tcPr>
            <w:tcW w:w="4064" w:type="dxa"/>
            <w:vAlign w:val="top"/>
          </w:tcPr>
          <w:p w14:paraId="75F5C90F">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暴露于危险环境的频率</w:t>
            </w:r>
          </w:p>
        </w:tc>
      </w:tr>
      <w:tr w14:paraId="272B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36" w:type="dxa"/>
            <w:vAlign w:val="top"/>
          </w:tcPr>
          <w:p w14:paraId="44B51DB1">
            <w:pPr>
              <w:keepNext w:val="0"/>
              <w:keepLines w:val="0"/>
              <w:pageBreakBefore w:val="0"/>
              <w:widowControl w:val="0"/>
              <w:kinsoku/>
              <w:wordWrap/>
              <w:overflowPunct/>
              <w:topLinePunct w:val="0"/>
              <w:autoSpaceDE/>
              <w:autoSpaceDN/>
              <w:bidi w:val="0"/>
              <w:spacing w:line="500" w:lineRule="exact"/>
              <w:jc w:val="center"/>
              <w:textAlignment w:val="auto"/>
            </w:pPr>
            <w:r>
              <w:t>10</w:t>
            </w:r>
          </w:p>
        </w:tc>
        <w:tc>
          <w:tcPr>
            <w:tcW w:w="4064" w:type="dxa"/>
            <w:vAlign w:val="top"/>
          </w:tcPr>
          <w:p w14:paraId="0227EB58">
            <w:pPr>
              <w:keepNext w:val="0"/>
              <w:keepLines w:val="0"/>
              <w:pageBreakBefore w:val="0"/>
              <w:widowControl w:val="0"/>
              <w:kinsoku/>
              <w:wordWrap/>
              <w:overflowPunct/>
              <w:topLinePunct w:val="0"/>
              <w:autoSpaceDE/>
              <w:autoSpaceDN/>
              <w:bidi w:val="0"/>
              <w:spacing w:line="500" w:lineRule="exact"/>
              <w:jc w:val="center"/>
              <w:textAlignment w:val="auto"/>
            </w:pPr>
            <w:r>
              <w:t>连续暴露于潜在危险环境</w:t>
            </w:r>
          </w:p>
        </w:tc>
      </w:tr>
      <w:tr w14:paraId="0FA06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36" w:type="dxa"/>
            <w:vAlign w:val="top"/>
          </w:tcPr>
          <w:p w14:paraId="585DF5E1">
            <w:pPr>
              <w:keepNext w:val="0"/>
              <w:keepLines w:val="0"/>
              <w:pageBreakBefore w:val="0"/>
              <w:widowControl w:val="0"/>
              <w:kinsoku/>
              <w:wordWrap/>
              <w:overflowPunct/>
              <w:topLinePunct w:val="0"/>
              <w:autoSpaceDE/>
              <w:autoSpaceDN/>
              <w:bidi w:val="0"/>
              <w:spacing w:line="500" w:lineRule="exact"/>
              <w:jc w:val="center"/>
              <w:textAlignment w:val="auto"/>
            </w:pPr>
            <w:r>
              <w:t>6</w:t>
            </w:r>
          </w:p>
        </w:tc>
        <w:tc>
          <w:tcPr>
            <w:tcW w:w="4064" w:type="dxa"/>
            <w:vAlign w:val="top"/>
          </w:tcPr>
          <w:p w14:paraId="5F9B89A4">
            <w:pPr>
              <w:keepNext w:val="0"/>
              <w:keepLines w:val="0"/>
              <w:pageBreakBefore w:val="0"/>
              <w:widowControl w:val="0"/>
              <w:kinsoku/>
              <w:wordWrap/>
              <w:overflowPunct/>
              <w:topLinePunct w:val="0"/>
              <w:autoSpaceDE/>
              <w:autoSpaceDN/>
              <w:bidi w:val="0"/>
              <w:spacing w:line="500" w:lineRule="exact"/>
              <w:jc w:val="center"/>
              <w:textAlignment w:val="auto"/>
            </w:pPr>
            <w:r>
              <w:t>逐日在工作时间内暴露</w:t>
            </w:r>
          </w:p>
        </w:tc>
      </w:tr>
      <w:tr w14:paraId="52534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36" w:type="dxa"/>
            <w:vAlign w:val="top"/>
          </w:tcPr>
          <w:p w14:paraId="3C754B17">
            <w:pPr>
              <w:keepNext w:val="0"/>
              <w:keepLines w:val="0"/>
              <w:pageBreakBefore w:val="0"/>
              <w:widowControl w:val="0"/>
              <w:kinsoku/>
              <w:wordWrap/>
              <w:overflowPunct/>
              <w:topLinePunct w:val="0"/>
              <w:autoSpaceDE/>
              <w:autoSpaceDN/>
              <w:bidi w:val="0"/>
              <w:spacing w:line="500" w:lineRule="exact"/>
              <w:jc w:val="center"/>
              <w:textAlignment w:val="auto"/>
            </w:pPr>
            <w:r>
              <w:t>3</w:t>
            </w:r>
          </w:p>
        </w:tc>
        <w:tc>
          <w:tcPr>
            <w:tcW w:w="4064" w:type="dxa"/>
            <w:vAlign w:val="top"/>
          </w:tcPr>
          <w:p w14:paraId="2AA3242A">
            <w:pPr>
              <w:keepNext w:val="0"/>
              <w:keepLines w:val="0"/>
              <w:pageBreakBefore w:val="0"/>
              <w:widowControl w:val="0"/>
              <w:kinsoku/>
              <w:wordWrap/>
              <w:overflowPunct/>
              <w:topLinePunct w:val="0"/>
              <w:autoSpaceDE/>
              <w:autoSpaceDN/>
              <w:bidi w:val="0"/>
              <w:spacing w:line="500" w:lineRule="exact"/>
              <w:jc w:val="center"/>
              <w:textAlignment w:val="auto"/>
            </w:pPr>
            <w:r>
              <w:t>每周一次或偶然暴露</w:t>
            </w:r>
          </w:p>
        </w:tc>
      </w:tr>
      <w:tr w14:paraId="6F794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36" w:type="dxa"/>
            <w:vAlign w:val="top"/>
          </w:tcPr>
          <w:p w14:paraId="79F3933D">
            <w:pPr>
              <w:keepNext w:val="0"/>
              <w:keepLines w:val="0"/>
              <w:pageBreakBefore w:val="0"/>
              <w:widowControl w:val="0"/>
              <w:kinsoku/>
              <w:wordWrap/>
              <w:overflowPunct/>
              <w:topLinePunct w:val="0"/>
              <w:autoSpaceDE/>
              <w:autoSpaceDN/>
              <w:bidi w:val="0"/>
              <w:spacing w:line="500" w:lineRule="exact"/>
              <w:jc w:val="center"/>
              <w:textAlignment w:val="auto"/>
            </w:pPr>
            <w:r>
              <w:t>2</w:t>
            </w:r>
          </w:p>
        </w:tc>
        <w:tc>
          <w:tcPr>
            <w:tcW w:w="4064" w:type="dxa"/>
            <w:vAlign w:val="top"/>
          </w:tcPr>
          <w:p w14:paraId="1D350F26">
            <w:pPr>
              <w:keepNext w:val="0"/>
              <w:keepLines w:val="0"/>
              <w:pageBreakBefore w:val="0"/>
              <w:widowControl w:val="0"/>
              <w:kinsoku/>
              <w:wordWrap/>
              <w:overflowPunct/>
              <w:topLinePunct w:val="0"/>
              <w:autoSpaceDE/>
              <w:autoSpaceDN/>
              <w:bidi w:val="0"/>
              <w:spacing w:line="500" w:lineRule="exact"/>
              <w:jc w:val="center"/>
              <w:textAlignment w:val="auto"/>
            </w:pPr>
            <w:r>
              <w:t>每月暴露一次</w:t>
            </w:r>
          </w:p>
        </w:tc>
      </w:tr>
      <w:tr w14:paraId="139A4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836" w:type="dxa"/>
            <w:vAlign w:val="top"/>
          </w:tcPr>
          <w:p w14:paraId="56FDC453">
            <w:pPr>
              <w:keepNext w:val="0"/>
              <w:keepLines w:val="0"/>
              <w:pageBreakBefore w:val="0"/>
              <w:widowControl w:val="0"/>
              <w:kinsoku/>
              <w:wordWrap/>
              <w:overflowPunct/>
              <w:topLinePunct w:val="0"/>
              <w:autoSpaceDE/>
              <w:autoSpaceDN/>
              <w:bidi w:val="0"/>
              <w:spacing w:line="500" w:lineRule="exact"/>
              <w:jc w:val="center"/>
              <w:textAlignment w:val="auto"/>
            </w:pPr>
            <w:r>
              <w:t>1</w:t>
            </w:r>
          </w:p>
        </w:tc>
        <w:tc>
          <w:tcPr>
            <w:tcW w:w="4064" w:type="dxa"/>
            <w:vAlign w:val="top"/>
          </w:tcPr>
          <w:p w14:paraId="14B06A92">
            <w:pPr>
              <w:keepNext w:val="0"/>
              <w:keepLines w:val="0"/>
              <w:pageBreakBefore w:val="0"/>
              <w:widowControl w:val="0"/>
              <w:kinsoku/>
              <w:wordWrap/>
              <w:overflowPunct/>
              <w:topLinePunct w:val="0"/>
              <w:autoSpaceDE/>
              <w:autoSpaceDN/>
              <w:bidi w:val="0"/>
              <w:spacing w:line="500" w:lineRule="exact"/>
              <w:jc w:val="center"/>
              <w:textAlignment w:val="auto"/>
            </w:pPr>
            <w:r>
              <w:t>每年几次出现在危险环境</w:t>
            </w:r>
          </w:p>
        </w:tc>
      </w:tr>
      <w:tr w14:paraId="1CBE8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2836" w:type="dxa"/>
            <w:vAlign w:val="top"/>
          </w:tcPr>
          <w:p w14:paraId="16B77269">
            <w:pPr>
              <w:keepNext w:val="0"/>
              <w:keepLines w:val="0"/>
              <w:pageBreakBefore w:val="0"/>
              <w:widowControl w:val="0"/>
              <w:kinsoku/>
              <w:wordWrap/>
              <w:overflowPunct/>
              <w:topLinePunct w:val="0"/>
              <w:autoSpaceDE/>
              <w:autoSpaceDN/>
              <w:bidi w:val="0"/>
              <w:spacing w:line="500" w:lineRule="exact"/>
              <w:jc w:val="center"/>
              <w:textAlignment w:val="auto"/>
            </w:pPr>
            <w:r>
              <w:t>0.5</w:t>
            </w:r>
          </w:p>
        </w:tc>
        <w:tc>
          <w:tcPr>
            <w:tcW w:w="4064" w:type="dxa"/>
            <w:vAlign w:val="top"/>
          </w:tcPr>
          <w:p w14:paraId="49B6CF35">
            <w:pPr>
              <w:keepNext w:val="0"/>
              <w:keepLines w:val="0"/>
              <w:pageBreakBefore w:val="0"/>
              <w:widowControl w:val="0"/>
              <w:kinsoku/>
              <w:wordWrap/>
              <w:overflowPunct/>
              <w:topLinePunct w:val="0"/>
              <w:autoSpaceDE/>
              <w:autoSpaceDN/>
              <w:bidi w:val="0"/>
              <w:spacing w:line="500" w:lineRule="exact"/>
              <w:jc w:val="center"/>
              <w:textAlignment w:val="auto"/>
            </w:pPr>
            <w:r>
              <w:t>非常罕见地暴露于危险环境</w:t>
            </w:r>
          </w:p>
        </w:tc>
      </w:tr>
    </w:tbl>
    <w:p w14:paraId="0F27A84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3）事故或危险事件的危险严重度C</w:t>
      </w:r>
    </w:p>
    <w:p w14:paraId="5151423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事故或危险事件对人身伤害的严重程度变化范围很大，可以从伤害直至死亡事故，规定分数值1～100。具体分数值见表5-3。</w:t>
      </w:r>
    </w:p>
    <w:p w14:paraId="7D0466A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表5-3事故或危险事件的危险严重度C的分数值</w:t>
      </w:r>
    </w:p>
    <w:tbl>
      <w:tblPr>
        <w:tblStyle w:val="41"/>
        <w:tblW w:w="6882" w:type="dxa"/>
        <w:tblInd w:w="10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8"/>
        <w:gridCol w:w="4064"/>
      </w:tblGrid>
      <w:tr w14:paraId="0A499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818" w:type="dxa"/>
            <w:vAlign w:val="top"/>
          </w:tcPr>
          <w:p w14:paraId="74EB37CA">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分数值</w:t>
            </w:r>
          </w:p>
        </w:tc>
        <w:tc>
          <w:tcPr>
            <w:tcW w:w="4064" w:type="dxa"/>
            <w:vAlign w:val="top"/>
          </w:tcPr>
          <w:p w14:paraId="64829852">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可能结果</w:t>
            </w:r>
          </w:p>
        </w:tc>
      </w:tr>
      <w:tr w14:paraId="43D78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18" w:type="dxa"/>
            <w:vAlign w:val="top"/>
          </w:tcPr>
          <w:p w14:paraId="43F8F6B1">
            <w:pPr>
              <w:keepNext w:val="0"/>
              <w:keepLines w:val="0"/>
              <w:pageBreakBefore w:val="0"/>
              <w:widowControl w:val="0"/>
              <w:kinsoku/>
              <w:wordWrap/>
              <w:overflowPunct/>
              <w:topLinePunct w:val="0"/>
              <w:autoSpaceDE/>
              <w:autoSpaceDN/>
              <w:bidi w:val="0"/>
              <w:spacing w:line="500" w:lineRule="exact"/>
              <w:jc w:val="center"/>
              <w:textAlignment w:val="auto"/>
            </w:pPr>
            <w:r>
              <w:t>100</w:t>
            </w:r>
          </w:p>
        </w:tc>
        <w:tc>
          <w:tcPr>
            <w:tcW w:w="4064" w:type="dxa"/>
            <w:vAlign w:val="top"/>
          </w:tcPr>
          <w:p w14:paraId="72B7BB2C">
            <w:pPr>
              <w:keepNext w:val="0"/>
              <w:keepLines w:val="0"/>
              <w:pageBreakBefore w:val="0"/>
              <w:widowControl w:val="0"/>
              <w:kinsoku/>
              <w:wordWrap/>
              <w:overflowPunct/>
              <w:topLinePunct w:val="0"/>
              <w:autoSpaceDE/>
              <w:autoSpaceDN/>
              <w:bidi w:val="0"/>
              <w:spacing w:line="500" w:lineRule="exact"/>
              <w:jc w:val="center"/>
              <w:textAlignment w:val="auto"/>
            </w:pPr>
            <w:r>
              <w:t>大灾难，许多人死亡</w:t>
            </w:r>
          </w:p>
        </w:tc>
      </w:tr>
      <w:tr w14:paraId="0C981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818" w:type="dxa"/>
            <w:vAlign w:val="top"/>
          </w:tcPr>
          <w:p w14:paraId="3171E466">
            <w:pPr>
              <w:keepNext w:val="0"/>
              <w:keepLines w:val="0"/>
              <w:pageBreakBefore w:val="0"/>
              <w:widowControl w:val="0"/>
              <w:kinsoku/>
              <w:wordWrap/>
              <w:overflowPunct/>
              <w:topLinePunct w:val="0"/>
              <w:autoSpaceDE/>
              <w:autoSpaceDN/>
              <w:bidi w:val="0"/>
              <w:spacing w:line="500" w:lineRule="exact"/>
              <w:jc w:val="center"/>
              <w:textAlignment w:val="auto"/>
            </w:pPr>
            <w:r>
              <w:t>40</w:t>
            </w:r>
          </w:p>
        </w:tc>
        <w:tc>
          <w:tcPr>
            <w:tcW w:w="4064" w:type="dxa"/>
            <w:vAlign w:val="top"/>
          </w:tcPr>
          <w:p w14:paraId="6640173B">
            <w:pPr>
              <w:keepNext w:val="0"/>
              <w:keepLines w:val="0"/>
              <w:pageBreakBefore w:val="0"/>
              <w:widowControl w:val="0"/>
              <w:kinsoku/>
              <w:wordWrap/>
              <w:overflowPunct/>
              <w:topLinePunct w:val="0"/>
              <w:autoSpaceDE/>
              <w:autoSpaceDN/>
              <w:bidi w:val="0"/>
              <w:spacing w:line="500" w:lineRule="exact"/>
              <w:jc w:val="center"/>
              <w:textAlignment w:val="auto"/>
            </w:pPr>
            <w:r>
              <w:t>灾难，数人死亡</w:t>
            </w:r>
          </w:p>
        </w:tc>
      </w:tr>
      <w:tr w14:paraId="1D925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818" w:type="dxa"/>
            <w:vAlign w:val="top"/>
          </w:tcPr>
          <w:p w14:paraId="1D2D00A4">
            <w:pPr>
              <w:keepNext w:val="0"/>
              <w:keepLines w:val="0"/>
              <w:pageBreakBefore w:val="0"/>
              <w:widowControl w:val="0"/>
              <w:kinsoku/>
              <w:wordWrap/>
              <w:overflowPunct/>
              <w:topLinePunct w:val="0"/>
              <w:autoSpaceDE/>
              <w:autoSpaceDN/>
              <w:bidi w:val="0"/>
              <w:spacing w:line="500" w:lineRule="exact"/>
              <w:jc w:val="center"/>
              <w:textAlignment w:val="auto"/>
            </w:pPr>
            <w:r>
              <w:t>15</w:t>
            </w:r>
          </w:p>
        </w:tc>
        <w:tc>
          <w:tcPr>
            <w:tcW w:w="4064" w:type="dxa"/>
            <w:vAlign w:val="top"/>
          </w:tcPr>
          <w:p w14:paraId="77C53096">
            <w:pPr>
              <w:keepNext w:val="0"/>
              <w:keepLines w:val="0"/>
              <w:pageBreakBefore w:val="0"/>
              <w:widowControl w:val="0"/>
              <w:kinsoku/>
              <w:wordWrap/>
              <w:overflowPunct/>
              <w:topLinePunct w:val="0"/>
              <w:autoSpaceDE/>
              <w:autoSpaceDN/>
              <w:bidi w:val="0"/>
              <w:spacing w:line="500" w:lineRule="exact"/>
              <w:jc w:val="center"/>
              <w:textAlignment w:val="auto"/>
            </w:pPr>
            <w:r>
              <w:t>非常严重，一人死亡</w:t>
            </w:r>
          </w:p>
        </w:tc>
      </w:tr>
      <w:tr w14:paraId="02DAF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818" w:type="dxa"/>
            <w:vAlign w:val="top"/>
          </w:tcPr>
          <w:p w14:paraId="44A08DE9">
            <w:pPr>
              <w:keepNext w:val="0"/>
              <w:keepLines w:val="0"/>
              <w:pageBreakBefore w:val="0"/>
              <w:widowControl w:val="0"/>
              <w:kinsoku/>
              <w:wordWrap/>
              <w:overflowPunct/>
              <w:topLinePunct w:val="0"/>
              <w:autoSpaceDE/>
              <w:autoSpaceDN/>
              <w:bidi w:val="0"/>
              <w:spacing w:line="500" w:lineRule="exact"/>
              <w:jc w:val="center"/>
              <w:textAlignment w:val="auto"/>
            </w:pPr>
            <w:r>
              <w:t>7</w:t>
            </w:r>
          </w:p>
        </w:tc>
        <w:tc>
          <w:tcPr>
            <w:tcW w:w="4064" w:type="dxa"/>
            <w:vAlign w:val="top"/>
          </w:tcPr>
          <w:p w14:paraId="3D0C3C6B">
            <w:pPr>
              <w:keepNext w:val="0"/>
              <w:keepLines w:val="0"/>
              <w:pageBreakBefore w:val="0"/>
              <w:widowControl w:val="0"/>
              <w:kinsoku/>
              <w:wordWrap/>
              <w:overflowPunct/>
              <w:topLinePunct w:val="0"/>
              <w:autoSpaceDE/>
              <w:autoSpaceDN/>
              <w:bidi w:val="0"/>
              <w:spacing w:line="500" w:lineRule="exact"/>
              <w:jc w:val="center"/>
              <w:textAlignment w:val="auto"/>
            </w:pPr>
            <w:r>
              <w:t>严重，严重伤害</w:t>
            </w:r>
          </w:p>
        </w:tc>
      </w:tr>
      <w:tr w14:paraId="5454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818" w:type="dxa"/>
            <w:vAlign w:val="top"/>
          </w:tcPr>
          <w:p w14:paraId="64F1A358">
            <w:pPr>
              <w:keepNext w:val="0"/>
              <w:keepLines w:val="0"/>
              <w:pageBreakBefore w:val="0"/>
              <w:widowControl w:val="0"/>
              <w:kinsoku/>
              <w:wordWrap/>
              <w:overflowPunct/>
              <w:topLinePunct w:val="0"/>
              <w:autoSpaceDE/>
              <w:autoSpaceDN/>
              <w:bidi w:val="0"/>
              <w:spacing w:line="500" w:lineRule="exact"/>
              <w:jc w:val="center"/>
              <w:textAlignment w:val="auto"/>
            </w:pPr>
            <w:r>
              <w:t>3</w:t>
            </w:r>
          </w:p>
        </w:tc>
        <w:tc>
          <w:tcPr>
            <w:tcW w:w="4064" w:type="dxa"/>
            <w:vAlign w:val="top"/>
          </w:tcPr>
          <w:p w14:paraId="04A6A051">
            <w:pPr>
              <w:keepNext w:val="0"/>
              <w:keepLines w:val="0"/>
              <w:pageBreakBefore w:val="0"/>
              <w:widowControl w:val="0"/>
              <w:kinsoku/>
              <w:wordWrap/>
              <w:overflowPunct/>
              <w:topLinePunct w:val="0"/>
              <w:autoSpaceDE/>
              <w:autoSpaceDN/>
              <w:bidi w:val="0"/>
              <w:spacing w:line="500" w:lineRule="exact"/>
              <w:jc w:val="center"/>
              <w:textAlignment w:val="auto"/>
            </w:pPr>
            <w:r>
              <w:t>重大，致残</w:t>
            </w:r>
          </w:p>
        </w:tc>
      </w:tr>
      <w:tr w14:paraId="36BAA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818" w:type="dxa"/>
            <w:vAlign w:val="top"/>
          </w:tcPr>
          <w:p w14:paraId="35F41543">
            <w:pPr>
              <w:keepNext w:val="0"/>
              <w:keepLines w:val="0"/>
              <w:pageBreakBefore w:val="0"/>
              <w:widowControl w:val="0"/>
              <w:kinsoku/>
              <w:wordWrap/>
              <w:overflowPunct/>
              <w:topLinePunct w:val="0"/>
              <w:autoSpaceDE/>
              <w:autoSpaceDN/>
              <w:bidi w:val="0"/>
              <w:spacing w:line="500" w:lineRule="exact"/>
              <w:jc w:val="center"/>
              <w:textAlignment w:val="auto"/>
            </w:pPr>
            <w:r>
              <w:t>1</w:t>
            </w:r>
          </w:p>
        </w:tc>
        <w:tc>
          <w:tcPr>
            <w:tcW w:w="4064" w:type="dxa"/>
            <w:vAlign w:val="top"/>
          </w:tcPr>
          <w:p w14:paraId="732781CE">
            <w:pPr>
              <w:keepNext w:val="0"/>
              <w:keepLines w:val="0"/>
              <w:pageBreakBefore w:val="0"/>
              <w:widowControl w:val="0"/>
              <w:kinsoku/>
              <w:wordWrap/>
              <w:overflowPunct/>
              <w:topLinePunct w:val="0"/>
              <w:autoSpaceDE/>
              <w:autoSpaceDN/>
              <w:bidi w:val="0"/>
              <w:spacing w:line="500" w:lineRule="exact"/>
              <w:jc w:val="center"/>
              <w:textAlignment w:val="auto"/>
            </w:pPr>
            <w:r>
              <w:t>引人注目，需要救护</w:t>
            </w:r>
          </w:p>
        </w:tc>
      </w:tr>
    </w:tbl>
    <w:p w14:paraId="1A6A53A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4）危险性程度分级</w:t>
      </w:r>
    </w:p>
    <w:p w14:paraId="03D6C88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在确定了上述三个因素的分数值后，其三者的乘积即为总的危险性分数值D。根据相关资料，将危险性程度分级的相应分数值列入表5-4。</w:t>
      </w:r>
    </w:p>
    <w:p w14:paraId="0C80AD7A">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表5-4危险性程度分级的分数值</w:t>
      </w:r>
    </w:p>
    <w:tbl>
      <w:tblPr>
        <w:tblStyle w:val="41"/>
        <w:tblW w:w="94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2"/>
        <w:gridCol w:w="1372"/>
        <w:gridCol w:w="1413"/>
        <w:gridCol w:w="1609"/>
        <w:gridCol w:w="3537"/>
      </w:tblGrid>
      <w:tr w14:paraId="35FEB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552" w:type="dxa"/>
            <w:vMerge w:val="restart"/>
            <w:tcBorders>
              <w:bottom w:val="nil"/>
            </w:tcBorders>
            <w:vAlign w:val="center"/>
          </w:tcPr>
          <w:p w14:paraId="3BF94582">
            <w:pPr>
              <w:keepNext w:val="0"/>
              <w:keepLines w:val="0"/>
              <w:pageBreakBefore w:val="0"/>
              <w:widowControl w:val="0"/>
              <w:kinsoku/>
              <w:wordWrap/>
              <w:overflowPunct/>
              <w:topLinePunct w:val="0"/>
              <w:autoSpaceDE/>
              <w:autoSpaceDN/>
              <w:bidi w:val="0"/>
              <w:spacing w:line="500" w:lineRule="exact"/>
              <w:jc w:val="center"/>
              <w:textAlignment w:val="auto"/>
            </w:pPr>
            <w:r>
              <w:rPr>
                <w:b/>
                <w:bCs/>
              </w:rPr>
              <w:t>分数值</w:t>
            </w:r>
          </w:p>
        </w:tc>
        <w:tc>
          <w:tcPr>
            <w:tcW w:w="4394" w:type="dxa"/>
            <w:gridSpan w:val="3"/>
            <w:vAlign w:val="center"/>
          </w:tcPr>
          <w:p w14:paraId="0AA21D6F">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风险分级</w:t>
            </w:r>
          </w:p>
        </w:tc>
        <w:tc>
          <w:tcPr>
            <w:tcW w:w="3537" w:type="dxa"/>
            <w:vMerge w:val="restart"/>
            <w:tcBorders>
              <w:bottom w:val="nil"/>
            </w:tcBorders>
            <w:vAlign w:val="center"/>
          </w:tcPr>
          <w:p w14:paraId="71FE12B9">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作业要求</w:t>
            </w:r>
          </w:p>
        </w:tc>
      </w:tr>
      <w:tr w14:paraId="70250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552" w:type="dxa"/>
            <w:vMerge w:val="continue"/>
            <w:tcBorders>
              <w:top w:val="nil"/>
            </w:tcBorders>
            <w:vAlign w:val="center"/>
          </w:tcPr>
          <w:p w14:paraId="28A03E03">
            <w:pPr>
              <w:keepNext w:val="0"/>
              <w:keepLines w:val="0"/>
              <w:pageBreakBefore w:val="0"/>
              <w:widowControl w:val="0"/>
              <w:kinsoku/>
              <w:wordWrap/>
              <w:overflowPunct/>
              <w:topLinePunct w:val="0"/>
              <w:autoSpaceDE/>
              <w:autoSpaceDN/>
              <w:bidi w:val="0"/>
              <w:spacing w:line="500" w:lineRule="exact"/>
              <w:jc w:val="center"/>
              <w:textAlignment w:val="auto"/>
            </w:pPr>
          </w:p>
        </w:tc>
        <w:tc>
          <w:tcPr>
            <w:tcW w:w="1372" w:type="dxa"/>
            <w:vAlign w:val="center"/>
          </w:tcPr>
          <w:p w14:paraId="4C80F233">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风险级别</w:t>
            </w:r>
          </w:p>
        </w:tc>
        <w:tc>
          <w:tcPr>
            <w:tcW w:w="1413" w:type="dxa"/>
            <w:vAlign w:val="center"/>
          </w:tcPr>
          <w:p w14:paraId="38E1049A">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风险程度</w:t>
            </w:r>
          </w:p>
        </w:tc>
        <w:tc>
          <w:tcPr>
            <w:tcW w:w="1609" w:type="dxa"/>
            <w:vAlign w:val="center"/>
          </w:tcPr>
          <w:p w14:paraId="26AE30E7">
            <w:pPr>
              <w:keepNext w:val="0"/>
              <w:keepLines w:val="0"/>
              <w:pageBreakBefore w:val="0"/>
              <w:widowControl w:val="0"/>
              <w:kinsoku/>
              <w:wordWrap/>
              <w:overflowPunct/>
              <w:topLinePunct w:val="0"/>
              <w:autoSpaceDE/>
              <w:autoSpaceDN/>
              <w:bidi w:val="0"/>
              <w:spacing w:line="500" w:lineRule="exact"/>
              <w:jc w:val="center"/>
              <w:textAlignment w:val="auto"/>
              <w:rPr>
                <w:b/>
                <w:bCs/>
              </w:rPr>
            </w:pPr>
            <w:r>
              <w:rPr>
                <w:b/>
                <w:bCs/>
              </w:rPr>
              <w:t>代表颜色</w:t>
            </w:r>
          </w:p>
        </w:tc>
        <w:tc>
          <w:tcPr>
            <w:tcW w:w="3537" w:type="dxa"/>
            <w:vMerge w:val="continue"/>
            <w:tcBorders>
              <w:top w:val="nil"/>
            </w:tcBorders>
            <w:vAlign w:val="center"/>
          </w:tcPr>
          <w:p w14:paraId="2BC38E08">
            <w:pPr>
              <w:keepNext w:val="0"/>
              <w:keepLines w:val="0"/>
              <w:pageBreakBefore w:val="0"/>
              <w:widowControl w:val="0"/>
              <w:kinsoku/>
              <w:wordWrap/>
              <w:overflowPunct/>
              <w:topLinePunct w:val="0"/>
              <w:autoSpaceDE/>
              <w:autoSpaceDN/>
              <w:bidi w:val="0"/>
              <w:spacing w:line="500" w:lineRule="exact"/>
              <w:jc w:val="center"/>
              <w:textAlignment w:val="auto"/>
              <w:rPr>
                <w:b/>
                <w:bCs/>
              </w:rPr>
            </w:pPr>
          </w:p>
        </w:tc>
      </w:tr>
      <w:tr w14:paraId="2C2E1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1552" w:type="dxa"/>
            <w:vAlign w:val="center"/>
          </w:tcPr>
          <w:p w14:paraId="2B563DFD">
            <w:pPr>
              <w:keepNext w:val="0"/>
              <w:keepLines w:val="0"/>
              <w:pageBreakBefore w:val="0"/>
              <w:widowControl w:val="0"/>
              <w:kinsoku/>
              <w:wordWrap/>
              <w:overflowPunct/>
              <w:topLinePunct w:val="0"/>
              <w:autoSpaceDE/>
              <w:autoSpaceDN/>
              <w:bidi w:val="0"/>
              <w:spacing w:line="500" w:lineRule="exact"/>
              <w:jc w:val="center"/>
              <w:textAlignment w:val="auto"/>
            </w:pPr>
            <w:r>
              <w:rPr>
                <w:rFonts w:hint="eastAsia"/>
                <w:lang w:eastAsia="zh-CN"/>
              </w:rPr>
              <w:t>&gt;</w:t>
            </w:r>
            <w:r>
              <w:t>320</w:t>
            </w:r>
          </w:p>
        </w:tc>
        <w:tc>
          <w:tcPr>
            <w:tcW w:w="1372" w:type="dxa"/>
            <w:vAlign w:val="center"/>
          </w:tcPr>
          <w:p w14:paraId="0D989A13">
            <w:pPr>
              <w:keepNext w:val="0"/>
              <w:keepLines w:val="0"/>
              <w:pageBreakBefore w:val="0"/>
              <w:widowControl w:val="0"/>
              <w:kinsoku/>
              <w:wordWrap/>
              <w:overflowPunct/>
              <w:topLinePunct w:val="0"/>
              <w:autoSpaceDE/>
              <w:autoSpaceDN/>
              <w:bidi w:val="0"/>
              <w:spacing w:line="500" w:lineRule="exact"/>
              <w:jc w:val="center"/>
              <w:textAlignment w:val="auto"/>
            </w:pPr>
            <w:r>
              <w:t>Ⅰ</w:t>
            </w:r>
          </w:p>
        </w:tc>
        <w:tc>
          <w:tcPr>
            <w:tcW w:w="1413" w:type="dxa"/>
            <w:vAlign w:val="center"/>
          </w:tcPr>
          <w:p w14:paraId="672D8C75">
            <w:pPr>
              <w:keepNext w:val="0"/>
              <w:keepLines w:val="0"/>
              <w:pageBreakBefore w:val="0"/>
              <w:widowControl w:val="0"/>
              <w:kinsoku/>
              <w:wordWrap/>
              <w:overflowPunct/>
              <w:topLinePunct w:val="0"/>
              <w:autoSpaceDE/>
              <w:autoSpaceDN/>
              <w:bidi w:val="0"/>
              <w:spacing w:line="500" w:lineRule="exact"/>
              <w:jc w:val="center"/>
              <w:textAlignment w:val="auto"/>
            </w:pPr>
            <w:r>
              <w:t>重大风险</w:t>
            </w:r>
          </w:p>
        </w:tc>
        <w:tc>
          <w:tcPr>
            <w:tcW w:w="1609" w:type="dxa"/>
            <w:vAlign w:val="center"/>
          </w:tcPr>
          <w:p w14:paraId="307FF0E3">
            <w:pPr>
              <w:keepNext w:val="0"/>
              <w:keepLines w:val="0"/>
              <w:pageBreakBefore w:val="0"/>
              <w:widowControl w:val="0"/>
              <w:kinsoku/>
              <w:wordWrap/>
              <w:overflowPunct/>
              <w:topLinePunct w:val="0"/>
              <w:autoSpaceDE/>
              <w:autoSpaceDN/>
              <w:bidi w:val="0"/>
              <w:spacing w:line="500" w:lineRule="exact"/>
              <w:jc w:val="center"/>
              <w:textAlignment w:val="auto"/>
            </w:pPr>
            <w:r>
              <w:t>红色</w:t>
            </w:r>
          </w:p>
        </w:tc>
        <w:tc>
          <w:tcPr>
            <w:tcW w:w="3537" w:type="dxa"/>
            <w:vAlign w:val="center"/>
          </w:tcPr>
          <w:p w14:paraId="413B7C3B">
            <w:pPr>
              <w:keepNext w:val="0"/>
              <w:keepLines w:val="0"/>
              <w:pageBreakBefore w:val="0"/>
              <w:widowControl w:val="0"/>
              <w:kinsoku/>
              <w:wordWrap/>
              <w:overflowPunct/>
              <w:topLinePunct w:val="0"/>
              <w:autoSpaceDE/>
              <w:autoSpaceDN/>
              <w:bidi w:val="0"/>
              <w:spacing w:line="500" w:lineRule="exact"/>
              <w:jc w:val="center"/>
              <w:textAlignment w:val="auto"/>
            </w:pPr>
            <w:r>
              <w:t>极其危险，不能继续作业，停止作业整改</w:t>
            </w:r>
          </w:p>
        </w:tc>
      </w:tr>
      <w:tr w14:paraId="20C9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1552" w:type="dxa"/>
            <w:vAlign w:val="center"/>
          </w:tcPr>
          <w:p w14:paraId="26732ABF">
            <w:pPr>
              <w:keepNext w:val="0"/>
              <w:keepLines w:val="0"/>
              <w:pageBreakBefore w:val="0"/>
              <w:widowControl w:val="0"/>
              <w:kinsoku/>
              <w:wordWrap/>
              <w:overflowPunct/>
              <w:topLinePunct w:val="0"/>
              <w:autoSpaceDE/>
              <w:autoSpaceDN/>
              <w:bidi w:val="0"/>
              <w:spacing w:line="500" w:lineRule="exact"/>
              <w:jc w:val="center"/>
              <w:textAlignment w:val="auto"/>
            </w:pPr>
            <w:r>
              <w:t>160～320</w:t>
            </w:r>
          </w:p>
        </w:tc>
        <w:tc>
          <w:tcPr>
            <w:tcW w:w="1372" w:type="dxa"/>
            <w:vAlign w:val="center"/>
          </w:tcPr>
          <w:p w14:paraId="7E47A5CA">
            <w:pPr>
              <w:keepNext w:val="0"/>
              <w:keepLines w:val="0"/>
              <w:pageBreakBefore w:val="0"/>
              <w:widowControl w:val="0"/>
              <w:kinsoku/>
              <w:wordWrap/>
              <w:overflowPunct/>
              <w:topLinePunct w:val="0"/>
              <w:autoSpaceDE/>
              <w:autoSpaceDN/>
              <w:bidi w:val="0"/>
              <w:spacing w:line="500" w:lineRule="exact"/>
              <w:jc w:val="center"/>
              <w:textAlignment w:val="auto"/>
            </w:pPr>
            <w:r>
              <w:t>Ⅱ</w:t>
            </w:r>
          </w:p>
        </w:tc>
        <w:tc>
          <w:tcPr>
            <w:tcW w:w="1413" w:type="dxa"/>
            <w:vAlign w:val="center"/>
          </w:tcPr>
          <w:p w14:paraId="3F57C77C">
            <w:pPr>
              <w:keepNext w:val="0"/>
              <w:keepLines w:val="0"/>
              <w:pageBreakBefore w:val="0"/>
              <w:widowControl w:val="0"/>
              <w:kinsoku/>
              <w:wordWrap/>
              <w:overflowPunct/>
              <w:topLinePunct w:val="0"/>
              <w:autoSpaceDE/>
              <w:autoSpaceDN/>
              <w:bidi w:val="0"/>
              <w:spacing w:line="500" w:lineRule="exact"/>
              <w:jc w:val="center"/>
              <w:textAlignment w:val="auto"/>
            </w:pPr>
            <w:r>
              <w:t>较大风险</w:t>
            </w:r>
          </w:p>
        </w:tc>
        <w:tc>
          <w:tcPr>
            <w:tcW w:w="1609" w:type="dxa"/>
            <w:vAlign w:val="center"/>
          </w:tcPr>
          <w:p w14:paraId="7D84F87C">
            <w:pPr>
              <w:keepNext w:val="0"/>
              <w:keepLines w:val="0"/>
              <w:pageBreakBefore w:val="0"/>
              <w:widowControl w:val="0"/>
              <w:kinsoku/>
              <w:wordWrap/>
              <w:overflowPunct/>
              <w:topLinePunct w:val="0"/>
              <w:autoSpaceDE/>
              <w:autoSpaceDN/>
              <w:bidi w:val="0"/>
              <w:spacing w:line="500" w:lineRule="exact"/>
              <w:jc w:val="center"/>
              <w:textAlignment w:val="auto"/>
            </w:pPr>
            <w:r>
              <w:t>橙色</w:t>
            </w:r>
          </w:p>
        </w:tc>
        <w:tc>
          <w:tcPr>
            <w:tcW w:w="3537" w:type="dxa"/>
            <w:vAlign w:val="center"/>
          </w:tcPr>
          <w:p w14:paraId="1AE68643">
            <w:pPr>
              <w:keepNext w:val="0"/>
              <w:keepLines w:val="0"/>
              <w:pageBreakBefore w:val="0"/>
              <w:widowControl w:val="0"/>
              <w:kinsoku/>
              <w:wordWrap/>
              <w:overflowPunct/>
              <w:topLinePunct w:val="0"/>
              <w:autoSpaceDE/>
              <w:autoSpaceDN/>
              <w:bidi w:val="0"/>
              <w:spacing w:line="500" w:lineRule="exact"/>
              <w:jc w:val="center"/>
              <w:textAlignment w:val="auto"/>
            </w:pPr>
            <w:r>
              <w:t>高度危险，需立即整改</w:t>
            </w:r>
          </w:p>
        </w:tc>
      </w:tr>
      <w:tr w14:paraId="3D5A5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1552" w:type="dxa"/>
            <w:vAlign w:val="center"/>
          </w:tcPr>
          <w:p w14:paraId="76372FA7">
            <w:pPr>
              <w:keepNext w:val="0"/>
              <w:keepLines w:val="0"/>
              <w:pageBreakBefore w:val="0"/>
              <w:widowControl w:val="0"/>
              <w:kinsoku/>
              <w:wordWrap/>
              <w:overflowPunct/>
              <w:topLinePunct w:val="0"/>
              <w:autoSpaceDE/>
              <w:autoSpaceDN/>
              <w:bidi w:val="0"/>
              <w:spacing w:line="500" w:lineRule="exact"/>
              <w:jc w:val="center"/>
              <w:textAlignment w:val="auto"/>
            </w:pPr>
            <w:r>
              <w:t>70～160</w:t>
            </w:r>
          </w:p>
        </w:tc>
        <w:tc>
          <w:tcPr>
            <w:tcW w:w="1372" w:type="dxa"/>
            <w:vAlign w:val="center"/>
          </w:tcPr>
          <w:p w14:paraId="593E8271">
            <w:pPr>
              <w:keepNext w:val="0"/>
              <w:keepLines w:val="0"/>
              <w:pageBreakBefore w:val="0"/>
              <w:widowControl w:val="0"/>
              <w:kinsoku/>
              <w:wordWrap/>
              <w:overflowPunct/>
              <w:topLinePunct w:val="0"/>
              <w:autoSpaceDE/>
              <w:autoSpaceDN/>
              <w:bidi w:val="0"/>
              <w:spacing w:line="500" w:lineRule="exact"/>
              <w:jc w:val="center"/>
              <w:textAlignment w:val="auto"/>
            </w:pPr>
            <w:r>
              <w:t>Ⅲ</w:t>
            </w:r>
          </w:p>
        </w:tc>
        <w:tc>
          <w:tcPr>
            <w:tcW w:w="1413" w:type="dxa"/>
            <w:vAlign w:val="center"/>
          </w:tcPr>
          <w:p w14:paraId="3E20867F">
            <w:pPr>
              <w:keepNext w:val="0"/>
              <w:keepLines w:val="0"/>
              <w:pageBreakBefore w:val="0"/>
              <w:widowControl w:val="0"/>
              <w:kinsoku/>
              <w:wordWrap/>
              <w:overflowPunct/>
              <w:topLinePunct w:val="0"/>
              <w:autoSpaceDE/>
              <w:autoSpaceDN/>
              <w:bidi w:val="0"/>
              <w:spacing w:line="500" w:lineRule="exact"/>
              <w:jc w:val="center"/>
              <w:textAlignment w:val="auto"/>
            </w:pPr>
            <w:r>
              <w:t>一般风险</w:t>
            </w:r>
          </w:p>
        </w:tc>
        <w:tc>
          <w:tcPr>
            <w:tcW w:w="1609" w:type="dxa"/>
            <w:vAlign w:val="center"/>
          </w:tcPr>
          <w:p w14:paraId="35B4827B">
            <w:pPr>
              <w:keepNext w:val="0"/>
              <w:keepLines w:val="0"/>
              <w:pageBreakBefore w:val="0"/>
              <w:widowControl w:val="0"/>
              <w:kinsoku/>
              <w:wordWrap/>
              <w:overflowPunct/>
              <w:topLinePunct w:val="0"/>
              <w:autoSpaceDE/>
              <w:autoSpaceDN/>
              <w:bidi w:val="0"/>
              <w:spacing w:line="500" w:lineRule="exact"/>
              <w:jc w:val="center"/>
              <w:textAlignment w:val="auto"/>
            </w:pPr>
            <w:r>
              <w:t>黄色</w:t>
            </w:r>
          </w:p>
        </w:tc>
        <w:tc>
          <w:tcPr>
            <w:tcW w:w="3537" w:type="dxa"/>
            <w:vAlign w:val="center"/>
          </w:tcPr>
          <w:p w14:paraId="70598571">
            <w:pPr>
              <w:keepNext w:val="0"/>
              <w:keepLines w:val="0"/>
              <w:pageBreakBefore w:val="0"/>
              <w:widowControl w:val="0"/>
              <w:kinsoku/>
              <w:wordWrap/>
              <w:overflowPunct/>
              <w:topLinePunct w:val="0"/>
              <w:autoSpaceDE/>
              <w:autoSpaceDN/>
              <w:bidi w:val="0"/>
              <w:spacing w:line="500" w:lineRule="exact"/>
              <w:jc w:val="center"/>
              <w:textAlignment w:val="auto"/>
            </w:pPr>
            <w:r>
              <w:t>显著危险，需要整改，加强控制</w:t>
            </w:r>
          </w:p>
        </w:tc>
      </w:tr>
      <w:tr w14:paraId="4DFC5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jc w:val="center"/>
        </w:trPr>
        <w:tc>
          <w:tcPr>
            <w:tcW w:w="1552" w:type="dxa"/>
            <w:tcBorders>
              <w:bottom w:val="single" w:color="000000" w:sz="2" w:space="0"/>
            </w:tcBorders>
            <w:vAlign w:val="center"/>
          </w:tcPr>
          <w:p w14:paraId="0A97D467">
            <w:pPr>
              <w:keepNext w:val="0"/>
              <w:keepLines w:val="0"/>
              <w:pageBreakBefore w:val="0"/>
              <w:widowControl w:val="0"/>
              <w:kinsoku/>
              <w:wordWrap/>
              <w:overflowPunct/>
              <w:topLinePunct w:val="0"/>
              <w:autoSpaceDE/>
              <w:autoSpaceDN/>
              <w:bidi w:val="0"/>
              <w:spacing w:line="500" w:lineRule="exact"/>
              <w:jc w:val="center"/>
              <w:textAlignment w:val="auto"/>
            </w:pPr>
            <w:r>
              <w:t>20～70</w:t>
            </w:r>
          </w:p>
        </w:tc>
        <w:tc>
          <w:tcPr>
            <w:tcW w:w="1372" w:type="dxa"/>
            <w:vMerge w:val="restart"/>
            <w:tcBorders>
              <w:bottom w:val="single" w:color="000000" w:sz="2" w:space="0"/>
            </w:tcBorders>
            <w:vAlign w:val="center"/>
          </w:tcPr>
          <w:p w14:paraId="6D2CC886">
            <w:pPr>
              <w:keepNext w:val="0"/>
              <w:keepLines w:val="0"/>
              <w:pageBreakBefore w:val="0"/>
              <w:widowControl w:val="0"/>
              <w:kinsoku/>
              <w:wordWrap/>
              <w:overflowPunct/>
              <w:topLinePunct w:val="0"/>
              <w:autoSpaceDE/>
              <w:autoSpaceDN/>
              <w:bidi w:val="0"/>
              <w:spacing w:line="500" w:lineRule="exact"/>
              <w:jc w:val="center"/>
              <w:textAlignment w:val="auto"/>
            </w:pPr>
            <w:r>
              <w:t>Ⅳ</w:t>
            </w:r>
          </w:p>
        </w:tc>
        <w:tc>
          <w:tcPr>
            <w:tcW w:w="1413" w:type="dxa"/>
            <w:vMerge w:val="restart"/>
            <w:tcBorders>
              <w:bottom w:val="single" w:color="000000" w:sz="2" w:space="0"/>
            </w:tcBorders>
            <w:vAlign w:val="center"/>
          </w:tcPr>
          <w:p w14:paraId="5317CD0F">
            <w:pPr>
              <w:keepNext w:val="0"/>
              <w:keepLines w:val="0"/>
              <w:pageBreakBefore w:val="0"/>
              <w:widowControl w:val="0"/>
              <w:kinsoku/>
              <w:wordWrap/>
              <w:overflowPunct/>
              <w:topLinePunct w:val="0"/>
              <w:autoSpaceDE/>
              <w:autoSpaceDN/>
              <w:bidi w:val="0"/>
              <w:spacing w:line="500" w:lineRule="exact"/>
              <w:jc w:val="center"/>
              <w:textAlignment w:val="auto"/>
            </w:pPr>
            <w:r>
              <w:t>低风险</w:t>
            </w:r>
          </w:p>
        </w:tc>
        <w:tc>
          <w:tcPr>
            <w:tcW w:w="1609" w:type="dxa"/>
            <w:vMerge w:val="restart"/>
            <w:tcBorders>
              <w:bottom w:val="single" w:color="000000" w:sz="2" w:space="0"/>
            </w:tcBorders>
            <w:vAlign w:val="center"/>
          </w:tcPr>
          <w:p w14:paraId="1E28DCB1">
            <w:pPr>
              <w:keepNext w:val="0"/>
              <w:keepLines w:val="0"/>
              <w:pageBreakBefore w:val="0"/>
              <w:widowControl w:val="0"/>
              <w:kinsoku/>
              <w:wordWrap/>
              <w:overflowPunct/>
              <w:topLinePunct w:val="0"/>
              <w:autoSpaceDE/>
              <w:autoSpaceDN/>
              <w:bidi w:val="0"/>
              <w:spacing w:line="500" w:lineRule="exact"/>
              <w:jc w:val="center"/>
              <w:textAlignment w:val="auto"/>
            </w:pPr>
            <w:r>
              <w:t>蓝色</w:t>
            </w:r>
          </w:p>
        </w:tc>
        <w:tc>
          <w:tcPr>
            <w:tcW w:w="3537" w:type="dxa"/>
            <w:tcBorders>
              <w:bottom w:val="single" w:color="000000" w:sz="2" w:space="0"/>
            </w:tcBorders>
            <w:vAlign w:val="center"/>
          </w:tcPr>
          <w:p w14:paraId="38CE546D">
            <w:pPr>
              <w:keepNext w:val="0"/>
              <w:keepLines w:val="0"/>
              <w:pageBreakBefore w:val="0"/>
              <w:widowControl w:val="0"/>
              <w:kinsoku/>
              <w:wordWrap/>
              <w:overflowPunct/>
              <w:topLinePunct w:val="0"/>
              <w:autoSpaceDE/>
              <w:autoSpaceDN/>
              <w:bidi w:val="0"/>
              <w:spacing w:line="500" w:lineRule="exact"/>
              <w:jc w:val="center"/>
              <w:textAlignment w:val="auto"/>
            </w:pPr>
            <w:r>
              <w:t>一般危险，需要注意，保持控制措施</w:t>
            </w:r>
          </w:p>
        </w:tc>
      </w:tr>
      <w:tr w14:paraId="43945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552" w:type="dxa"/>
            <w:tcBorders>
              <w:top w:val="single" w:color="000000" w:sz="2" w:space="0"/>
            </w:tcBorders>
            <w:vAlign w:val="center"/>
          </w:tcPr>
          <w:p w14:paraId="76F7BE17">
            <w:pPr>
              <w:keepNext w:val="0"/>
              <w:keepLines w:val="0"/>
              <w:pageBreakBefore w:val="0"/>
              <w:widowControl w:val="0"/>
              <w:kinsoku/>
              <w:wordWrap/>
              <w:overflowPunct/>
              <w:topLinePunct w:val="0"/>
              <w:autoSpaceDE/>
              <w:autoSpaceDN/>
              <w:bidi w:val="0"/>
              <w:spacing w:line="500" w:lineRule="exact"/>
              <w:jc w:val="center"/>
              <w:textAlignment w:val="auto"/>
            </w:pPr>
            <w:r>
              <w:t>&lt;20</w:t>
            </w:r>
          </w:p>
        </w:tc>
        <w:tc>
          <w:tcPr>
            <w:tcW w:w="1372" w:type="dxa"/>
            <w:vMerge w:val="continue"/>
            <w:tcBorders>
              <w:top w:val="single" w:color="000000" w:sz="2" w:space="0"/>
            </w:tcBorders>
            <w:vAlign w:val="center"/>
          </w:tcPr>
          <w:p w14:paraId="18D476B9">
            <w:pPr>
              <w:keepNext w:val="0"/>
              <w:keepLines w:val="0"/>
              <w:pageBreakBefore w:val="0"/>
              <w:widowControl w:val="0"/>
              <w:kinsoku/>
              <w:wordWrap/>
              <w:overflowPunct/>
              <w:topLinePunct w:val="0"/>
              <w:autoSpaceDE/>
              <w:autoSpaceDN/>
              <w:bidi w:val="0"/>
              <w:spacing w:line="500" w:lineRule="exact"/>
              <w:jc w:val="center"/>
              <w:textAlignment w:val="auto"/>
            </w:pPr>
          </w:p>
        </w:tc>
        <w:tc>
          <w:tcPr>
            <w:tcW w:w="1413" w:type="dxa"/>
            <w:vMerge w:val="continue"/>
            <w:tcBorders>
              <w:top w:val="single" w:color="000000" w:sz="2" w:space="0"/>
            </w:tcBorders>
            <w:vAlign w:val="center"/>
          </w:tcPr>
          <w:p w14:paraId="04947ED7">
            <w:pPr>
              <w:keepNext w:val="0"/>
              <w:keepLines w:val="0"/>
              <w:pageBreakBefore w:val="0"/>
              <w:widowControl w:val="0"/>
              <w:kinsoku/>
              <w:wordWrap/>
              <w:overflowPunct/>
              <w:topLinePunct w:val="0"/>
              <w:autoSpaceDE/>
              <w:autoSpaceDN/>
              <w:bidi w:val="0"/>
              <w:spacing w:line="500" w:lineRule="exact"/>
              <w:jc w:val="center"/>
              <w:textAlignment w:val="auto"/>
            </w:pPr>
          </w:p>
        </w:tc>
        <w:tc>
          <w:tcPr>
            <w:tcW w:w="1609" w:type="dxa"/>
            <w:vMerge w:val="continue"/>
            <w:tcBorders>
              <w:top w:val="single" w:color="000000" w:sz="2" w:space="0"/>
            </w:tcBorders>
            <w:vAlign w:val="center"/>
          </w:tcPr>
          <w:p w14:paraId="03D16222">
            <w:pPr>
              <w:keepNext w:val="0"/>
              <w:keepLines w:val="0"/>
              <w:pageBreakBefore w:val="0"/>
              <w:widowControl w:val="0"/>
              <w:kinsoku/>
              <w:wordWrap/>
              <w:overflowPunct/>
              <w:topLinePunct w:val="0"/>
              <w:autoSpaceDE/>
              <w:autoSpaceDN/>
              <w:bidi w:val="0"/>
              <w:spacing w:line="500" w:lineRule="exact"/>
              <w:jc w:val="center"/>
              <w:textAlignment w:val="auto"/>
            </w:pPr>
          </w:p>
        </w:tc>
        <w:tc>
          <w:tcPr>
            <w:tcW w:w="3537" w:type="dxa"/>
            <w:tcBorders>
              <w:top w:val="single" w:color="000000" w:sz="2" w:space="0"/>
            </w:tcBorders>
            <w:vAlign w:val="center"/>
          </w:tcPr>
          <w:p w14:paraId="2751FF8D">
            <w:pPr>
              <w:keepNext w:val="0"/>
              <w:keepLines w:val="0"/>
              <w:pageBreakBefore w:val="0"/>
              <w:widowControl w:val="0"/>
              <w:kinsoku/>
              <w:wordWrap/>
              <w:overflowPunct/>
              <w:topLinePunct w:val="0"/>
              <w:autoSpaceDE/>
              <w:autoSpaceDN/>
              <w:bidi w:val="0"/>
              <w:spacing w:line="500" w:lineRule="exact"/>
              <w:jc w:val="center"/>
              <w:textAlignment w:val="auto"/>
            </w:pPr>
            <w:r>
              <w:t>稍有危险，可以接受，加以关注</w:t>
            </w:r>
          </w:p>
        </w:tc>
      </w:tr>
    </w:tbl>
    <w:p w14:paraId="1F7BC682">
      <w:pPr>
        <w:bidi w:val="0"/>
        <w:jc w:val="left"/>
        <w:rPr>
          <w:rFonts w:hint="eastAsia"/>
          <w:lang w:val="en-US" w:eastAsia="zh-CN"/>
        </w:rPr>
      </w:pPr>
    </w:p>
    <w:p w14:paraId="4B49AA9D">
      <w:pPr>
        <w:bidi w:val="0"/>
        <w:jc w:val="left"/>
        <w:rPr>
          <w:rFonts w:hint="eastAsia"/>
          <w:lang w:val="en-US" w:eastAsia="zh-CN"/>
        </w:rPr>
      </w:pPr>
    </w:p>
    <w:p w14:paraId="3A8D2196">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391" w:name="_Toc5463"/>
      <w:bookmarkStart w:id="392" w:name="_Toc7207"/>
      <w:bookmarkStart w:id="393" w:name="_Toc6664"/>
      <w:bookmarkStart w:id="394" w:name="_Toc6527"/>
      <w:r>
        <w:rPr>
          <w:rFonts w:hint="eastAsia" w:ascii="宋体" w:hAnsi="宋体" w:eastAsia="宋体" w:cs="宋体"/>
          <w:b/>
          <w:color w:val="000000" w:themeColor="text1"/>
          <w:sz w:val="30"/>
          <w:szCs w:val="30"/>
          <w:lang w:val="en-US" w:eastAsia="zh-CN"/>
          <w14:textFill>
            <w14:solidFill>
              <w14:schemeClr w14:val="tx1"/>
            </w14:solidFill>
          </w14:textFill>
        </w:rPr>
        <w:t>5.1.3地下储罐爆炸的伤害模型计算法</w:t>
      </w:r>
      <w:bookmarkEnd w:id="391"/>
      <w:bookmarkEnd w:id="392"/>
      <w:bookmarkEnd w:id="393"/>
      <w:bookmarkEnd w:id="394"/>
    </w:p>
    <w:p w14:paraId="7B0B354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用TNT当量法来预测地下储罐爆炸严重度的原理是：假定一定百分比的蒸气云雾参与了爆炸，以TNT当量来表示蒸气云雾爆炸的威力，确定蒸气云雾爆炸的TNT当量后，利用冲击波伤害、破坏准则进行蒸气云雾爆炸事故所产生的伤害、破坏作用进行定量分析、评价。伤害模型计算的方法如下：</w:t>
      </w:r>
    </w:p>
    <w:p w14:paraId="64E8C23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（1）爆炸能量WTNT的计算</w:t>
      </w:r>
    </w:p>
    <w:p w14:paraId="591E90F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根据爆炸力学理论，采用范登伯格（VandenBerg）和兰诺伊（Lannoy）TNT当量法，将其它易燃、易爆物质转化成相对应的X千克当量TNT，来描述爆炸事故的威力，即能量释放程度，计算出危害程度。计算公式如下：</w:t>
      </w:r>
    </w:p>
    <w:p w14:paraId="46277EC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=a•Q</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/Q</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 xml:space="preserve">f                          </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①</w:t>
      </w:r>
    </w:p>
    <w:p w14:paraId="0A72053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式中：</w:t>
      </w:r>
    </w:p>
    <w:p w14:paraId="20E18B3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—蒸气云的TNT当量，kg；</w:t>
      </w:r>
    </w:p>
    <w:p w14:paraId="32BCF6B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a—蒸气云的当量系数，通常取4%；</w:t>
      </w:r>
    </w:p>
    <w:p w14:paraId="7B5F4E3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Q</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—燃料的燃烧热，MJ/kg；查“DOW加油站火灾爆炸指数法”附录《物质系数和特性》表并换算，汽油为43.73MJ/kg；</w:t>
      </w:r>
    </w:p>
    <w:p w14:paraId="675559A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Q</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—TNT的爆炸热，4.52MJ/kg；</w:t>
      </w:r>
    </w:p>
    <w:p w14:paraId="101B33A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—蒸气云爆炸中燃烧掉的总质量，kg。</w:t>
      </w:r>
    </w:p>
    <w:p w14:paraId="71D34F8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根据有关资料，汽油爆炸下限为1.4%，上限为7.6%。地下油罐一般是罐内油品蒸气形成爆炸性混合气体，遇到明火或高温等情况发生爆炸。因此应以油罐容积为限，计算其达到爆炸极限时油品蒸气的爆炸能量。</w:t>
      </w:r>
    </w:p>
    <w:p w14:paraId="4B454C5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已知汽油相对标准状态下对于干空气的密度为3.5。标准状态下干空气密度为1.293kg/m³。</w:t>
      </w:r>
    </w:p>
    <w:p w14:paraId="4648C68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设油罐容积为X，且假设整个储罐为一个点爆炸源。设1m³达到爆炸极限的汽油蒸气质量为B，则有：</w:t>
      </w:r>
    </w:p>
    <w:p w14:paraId="173C787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B</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下</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=3.5×1.293×1.4%=0.063357kg</w:t>
      </w:r>
    </w:p>
    <w:p w14:paraId="4903A23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B</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上</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=3.5×1.293×7.6%=0.343938kg</w:t>
      </w:r>
    </w:p>
    <w:p w14:paraId="334DE62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则W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=X•B                   ②</w:t>
      </w:r>
    </w:p>
    <w:p w14:paraId="1320460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将②式代入①式即可计算出本加油站油罐的爆炸能量W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范围。</w:t>
      </w:r>
    </w:p>
    <w:p w14:paraId="4720BA1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（2）爆炸冲击波对人员伤害和建筑物破坏范围</w:t>
      </w:r>
    </w:p>
    <w:p w14:paraId="65ECB03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1）计算公式</w:t>
      </w:r>
    </w:p>
    <w:p w14:paraId="58D395F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地下储罐爆炸冲击波计算应采用岩土爆破研究有关的成果，结合地下储油罐属于沙土覆盖和填充，采用G.M莱克霍夫的研究成果。莱克霍夫对于砂质土壤中的冲击波超压，有：</w:t>
      </w:r>
    </w:p>
    <w:p w14:paraId="3EE1D58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△Pm=8[R/（W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1/3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 xml:space="preserve">-3                  </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③</w:t>
      </w:r>
    </w:p>
    <w:p w14:paraId="0CE1BB7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式中：</w:t>
      </w:r>
    </w:p>
    <w:p w14:paraId="7D5ED9D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△Pm—爆炸冲击波超压，Pa（1×105Pa=1.01972kgf/c㎡）；</w:t>
      </w:r>
    </w:p>
    <w:p w14:paraId="0769C63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R—爆心到所研究点的距离，m；</w:t>
      </w:r>
    </w:p>
    <w:p w14:paraId="12778A9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—蒸气云的TNT当量，kg；</w:t>
      </w:r>
    </w:p>
    <w:p w14:paraId="1E32B03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根据③式，则有：</w:t>
      </w:r>
    </w:p>
    <w:p w14:paraId="73DB228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R=[8W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/△Pm]</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1/3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④</w:t>
      </w:r>
    </w:p>
    <w:p w14:paraId="6311D6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2）地下储油罐爆炸冲击波对人员伤害范围及建筑物破坏范围</w:t>
      </w:r>
    </w:p>
    <w:p w14:paraId="35B333D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根据爆炸事故后果模拟评价方法中的超压准则，设△P=△Pm，将爆炸能量计算结果代入④式，则可模拟计算出加油站地下储油罐发生爆炸时产生的爆炸冲击波对人员和建筑物的伤害分布情况。</w:t>
      </w:r>
    </w:p>
    <w:p w14:paraId="2B09749E">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395" w:name="_Toc1964"/>
      <w:bookmarkStart w:id="396" w:name="_Toc6489"/>
      <w:bookmarkStart w:id="397" w:name="_Toc5870"/>
      <w:bookmarkStart w:id="398" w:name="_Toc8089"/>
      <w:r>
        <w:rPr>
          <w:rFonts w:hint="eastAsia" w:ascii="宋体" w:hAnsi="宋体" w:eastAsia="宋体" w:cs="宋体"/>
          <w:b/>
          <w:smallCaps/>
          <w:color w:val="auto"/>
          <w:kern w:val="0"/>
          <w:szCs w:val="20"/>
          <w:lang w:val="en-US" w:eastAsia="zh-CN"/>
        </w:rPr>
        <w:t>5.2采用的评价方法选择的理由</w:t>
      </w:r>
      <w:bookmarkEnd w:id="395"/>
      <w:bookmarkEnd w:id="396"/>
      <w:bookmarkEnd w:id="397"/>
      <w:bookmarkEnd w:id="398"/>
    </w:p>
    <w:p w14:paraId="5AEA348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安全评价方法是对系统的危险因素、危害因素及其危险、危害程度进行分析、评价的方法。目前，已开发出数十种不同特点、不同适用范围和应用条件的评价方法，本次评价选择评价法的理由如下：</w:t>
      </w:r>
    </w:p>
    <w:p w14:paraId="1D0BF14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安全检查表】：应用安全检查表可避免传统的安全检查中易发生的疏忽、遗漏等弊端，可全面地查出危险、有害因素（包括各类隐患）和工作漏项；安全检查表应用范围广；安全检查表简明易懂、使用方便、易于掌握，能弥补有关人员知识、经验不足的缺陷，减少盲目性。</w:t>
      </w:r>
    </w:p>
    <w:p w14:paraId="7F43DD7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【作业条件危险性评价法】：应用作业条件危险性评价法简单易行，危险程度的级别划分比较清楚、醒目，容易判定加油站作业场所的危险程度。</w:t>
      </w:r>
    </w:p>
    <w:p w14:paraId="349E861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【地下储罐爆炸的伤害模型计算法】：加油站的油品采用埋地油罐储存，应用地下储罐爆炸的伤害模型计算法可以预测蒸汽云爆炸的冲击波损害半径，即确定爆炸冲击波对人员伤害和建筑物破坏的范围。</w:t>
      </w:r>
    </w:p>
    <w:p w14:paraId="0B5B31D7">
      <w:pPr>
        <w:bidi w:val="0"/>
        <w:jc w:val="left"/>
        <w:rPr>
          <w:rFonts w:hint="eastAsia"/>
          <w:lang w:val="en-US" w:eastAsia="zh-CN"/>
        </w:rPr>
      </w:pPr>
    </w:p>
    <w:p w14:paraId="728B9D53">
      <w:pPr>
        <w:bidi w:val="0"/>
        <w:rPr>
          <w:rFonts w:hint="eastAsia" w:ascii="Times New Roman" w:hAnsi="Times New Roman" w:eastAsia="宋体" w:cs="Times New Roman"/>
          <w:kern w:val="2"/>
          <w:sz w:val="21"/>
          <w:szCs w:val="24"/>
          <w:lang w:val="en-US" w:eastAsia="zh-CN" w:bidi="ar-SA"/>
        </w:rPr>
      </w:pPr>
    </w:p>
    <w:p w14:paraId="756137C7">
      <w:pPr>
        <w:bidi w:val="0"/>
        <w:rPr>
          <w:rFonts w:hint="eastAsia"/>
          <w:lang w:val="en-US" w:eastAsia="zh-CN"/>
        </w:rPr>
      </w:pPr>
    </w:p>
    <w:p w14:paraId="671D8375">
      <w:pPr>
        <w:bidi w:val="0"/>
        <w:rPr>
          <w:rFonts w:hint="eastAsia"/>
          <w:lang w:val="en-US" w:eastAsia="zh-CN"/>
        </w:rPr>
      </w:pPr>
    </w:p>
    <w:p w14:paraId="2775F1A5">
      <w:pPr>
        <w:bidi w:val="0"/>
        <w:rPr>
          <w:rFonts w:hint="eastAsia"/>
          <w:lang w:val="en-US" w:eastAsia="zh-CN"/>
        </w:rPr>
      </w:pPr>
    </w:p>
    <w:p w14:paraId="29610CFF">
      <w:pPr>
        <w:bidi w:val="0"/>
        <w:rPr>
          <w:rFonts w:hint="eastAsia"/>
          <w:lang w:val="en-US" w:eastAsia="zh-CN"/>
        </w:rPr>
      </w:pPr>
    </w:p>
    <w:p w14:paraId="3C44E9B1">
      <w:pPr>
        <w:bidi w:val="0"/>
        <w:rPr>
          <w:rFonts w:hint="eastAsia"/>
          <w:lang w:val="en-US" w:eastAsia="zh-CN"/>
        </w:rPr>
      </w:pPr>
    </w:p>
    <w:p w14:paraId="78A904BD">
      <w:pPr>
        <w:bidi w:val="0"/>
        <w:rPr>
          <w:rFonts w:hint="eastAsia"/>
          <w:lang w:val="en-US" w:eastAsia="zh-CN"/>
        </w:rPr>
      </w:pPr>
    </w:p>
    <w:p w14:paraId="592BF3D6">
      <w:pPr>
        <w:bidi w:val="0"/>
        <w:rPr>
          <w:rFonts w:hint="eastAsia"/>
          <w:lang w:val="en-US" w:eastAsia="zh-CN"/>
        </w:rPr>
      </w:pPr>
    </w:p>
    <w:p w14:paraId="29DB8DAB">
      <w:pPr>
        <w:bidi w:val="0"/>
        <w:rPr>
          <w:rFonts w:hint="eastAsia"/>
          <w:lang w:val="en-US" w:eastAsia="zh-CN"/>
        </w:rPr>
      </w:pPr>
    </w:p>
    <w:p w14:paraId="70AF4533">
      <w:pPr>
        <w:bidi w:val="0"/>
        <w:rPr>
          <w:rFonts w:hint="eastAsia"/>
          <w:lang w:val="en-US" w:eastAsia="zh-CN"/>
        </w:rPr>
      </w:pPr>
    </w:p>
    <w:p w14:paraId="192FEAE2">
      <w:pPr>
        <w:bidi w:val="0"/>
        <w:rPr>
          <w:rFonts w:hint="eastAsia"/>
          <w:lang w:val="en-US" w:eastAsia="zh-CN"/>
        </w:rPr>
      </w:pPr>
    </w:p>
    <w:p w14:paraId="0C6C3B90">
      <w:pPr>
        <w:bidi w:val="0"/>
        <w:rPr>
          <w:rFonts w:hint="eastAsia"/>
          <w:lang w:val="en-US" w:eastAsia="zh-CN"/>
        </w:rPr>
      </w:pPr>
    </w:p>
    <w:p w14:paraId="7AB7357F">
      <w:pPr>
        <w:bidi w:val="0"/>
        <w:rPr>
          <w:rFonts w:hint="eastAsia"/>
          <w:lang w:val="en-US" w:eastAsia="zh-CN"/>
        </w:rPr>
      </w:pPr>
    </w:p>
    <w:p w14:paraId="559C4CD8">
      <w:pPr>
        <w:bidi w:val="0"/>
        <w:rPr>
          <w:rFonts w:hint="eastAsia"/>
          <w:lang w:val="en-US" w:eastAsia="zh-CN"/>
        </w:rPr>
      </w:pPr>
    </w:p>
    <w:p w14:paraId="71897A2E">
      <w:pPr>
        <w:bidi w:val="0"/>
        <w:rPr>
          <w:rFonts w:hint="eastAsia"/>
          <w:lang w:val="en-US" w:eastAsia="zh-CN"/>
        </w:rPr>
      </w:pPr>
    </w:p>
    <w:p w14:paraId="55D37D05">
      <w:pPr>
        <w:bidi w:val="0"/>
        <w:rPr>
          <w:rFonts w:hint="eastAsia"/>
          <w:lang w:val="en-US" w:eastAsia="zh-CN"/>
        </w:rPr>
      </w:pPr>
    </w:p>
    <w:p w14:paraId="2B93D7B2">
      <w:pPr>
        <w:bidi w:val="0"/>
        <w:rPr>
          <w:rFonts w:hint="eastAsia"/>
          <w:lang w:val="en-US" w:eastAsia="zh-CN"/>
        </w:rPr>
      </w:pPr>
    </w:p>
    <w:p w14:paraId="719ED682">
      <w:pPr>
        <w:bidi w:val="0"/>
        <w:rPr>
          <w:rFonts w:hint="eastAsia"/>
          <w:lang w:val="en-US" w:eastAsia="zh-CN"/>
        </w:rPr>
      </w:pPr>
    </w:p>
    <w:p w14:paraId="62C1B03F">
      <w:pPr>
        <w:bidi w:val="0"/>
        <w:rPr>
          <w:rFonts w:hint="eastAsia"/>
          <w:lang w:val="en-US" w:eastAsia="zh-CN"/>
        </w:rPr>
      </w:pPr>
    </w:p>
    <w:p w14:paraId="07934059">
      <w:pPr>
        <w:bidi w:val="0"/>
        <w:rPr>
          <w:rFonts w:hint="eastAsia"/>
          <w:lang w:val="en-US" w:eastAsia="zh-CN"/>
        </w:rPr>
      </w:pPr>
    </w:p>
    <w:p w14:paraId="61E7E7CB">
      <w:pPr>
        <w:bidi w:val="0"/>
        <w:rPr>
          <w:rFonts w:hint="eastAsia"/>
          <w:lang w:val="en-US" w:eastAsia="zh-CN"/>
        </w:rPr>
      </w:pPr>
    </w:p>
    <w:p w14:paraId="2751A58D">
      <w:pPr>
        <w:bidi w:val="0"/>
        <w:rPr>
          <w:rFonts w:hint="eastAsia"/>
          <w:lang w:val="en-US" w:eastAsia="zh-CN"/>
        </w:rPr>
      </w:pPr>
    </w:p>
    <w:p w14:paraId="74CDC63E">
      <w:pPr>
        <w:tabs>
          <w:tab w:val="left" w:pos="1356"/>
        </w:tabs>
        <w:bidi w:val="0"/>
        <w:jc w:val="left"/>
        <w:rPr>
          <w:rFonts w:hint="eastAsia"/>
          <w:lang w:val="en-US" w:eastAsia="zh-CN"/>
        </w:rPr>
      </w:pPr>
      <w:r>
        <w:rPr>
          <w:rFonts w:hint="eastAsia"/>
          <w:lang w:val="en-US" w:eastAsia="zh-CN"/>
        </w:rPr>
        <w:tab/>
      </w:r>
    </w:p>
    <w:p w14:paraId="3554A9DC">
      <w:pPr>
        <w:keepNext w:val="0"/>
        <w:keepLines w:val="0"/>
        <w:pageBreakBefore w:val="0"/>
        <w:widowControl w:val="0"/>
        <w:tabs>
          <w:tab w:val="left" w:pos="1356"/>
        </w:tabs>
        <w:kinsoku/>
        <w:wordWrap/>
        <w:overflowPunct/>
        <w:topLinePunct w:val="0"/>
        <w:autoSpaceDE/>
        <w:autoSpaceDN/>
        <w:bidi w:val="0"/>
        <w:adjustRightInd/>
        <w:snapToGrid/>
        <w:spacing w:before="157" w:beforeLines="50"/>
        <w:jc w:val="center"/>
        <w:textAlignment w:val="auto"/>
        <w:outlineLvl w:val="0"/>
        <w:rPr>
          <w:rFonts w:hint="eastAsia" w:ascii="宋体" w:hAnsi="宋体" w:eastAsia="宋体" w:cs="宋体"/>
          <w:b/>
          <w:sz w:val="36"/>
          <w:szCs w:val="36"/>
          <w:lang w:val="en-US" w:eastAsia="zh-CN"/>
        </w:rPr>
      </w:pPr>
      <w:bookmarkStart w:id="399" w:name="_Toc23784"/>
      <w:bookmarkStart w:id="400" w:name="_Toc6117"/>
      <w:bookmarkStart w:id="401" w:name="_Toc2920"/>
      <w:r>
        <w:rPr>
          <w:rFonts w:hint="eastAsia" w:ascii="宋体" w:hAnsi="宋体" w:eastAsia="宋体" w:cs="宋体"/>
          <w:b/>
          <w:sz w:val="36"/>
          <w:szCs w:val="36"/>
          <w:lang w:val="en-US" w:eastAsia="zh-CN"/>
        </w:rPr>
        <w:t>第6章危险危害度评价及可能发生的事故风险分析</w:t>
      </w:r>
      <w:bookmarkEnd w:id="399"/>
      <w:bookmarkEnd w:id="400"/>
      <w:bookmarkEnd w:id="401"/>
    </w:p>
    <w:p w14:paraId="289F4DDA">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402" w:name="_Toc5222"/>
      <w:bookmarkStart w:id="403" w:name="_Toc26070"/>
      <w:bookmarkStart w:id="404" w:name="_Toc8862"/>
      <w:bookmarkStart w:id="405" w:name="_Toc27654"/>
      <w:r>
        <w:rPr>
          <w:rFonts w:hint="eastAsia" w:ascii="宋体" w:hAnsi="宋体" w:eastAsia="宋体" w:cs="宋体"/>
          <w:b/>
          <w:smallCaps/>
          <w:color w:val="auto"/>
          <w:kern w:val="0"/>
          <w:szCs w:val="20"/>
          <w:lang w:val="en-US" w:eastAsia="zh-CN"/>
        </w:rPr>
        <w:t>6.1主要危险化学品储存情况</w:t>
      </w:r>
      <w:bookmarkEnd w:id="402"/>
      <w:bookmarkEnd w:id="403"/>
      <w:bookmarkEnd w:id="404"/>
      <w:bookmarkEnd w:id="405"/>
    </w:p>
    <w:p w14:paraId="7AF24F98">
      <w:pPr>
        <w:keepNext w:val="0"/>
        <w:keepLines w:val="0"/>
        <w:pageBreakBefore w:val="0"/>
        <w:widowControl w:val="0"/>
        <w:tabs>
          <w:tab w:val="left" w:pos="1356"/>
        </w:tabs>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该加油站汽油、柴油的储存采用埋地油罐、常温、常压储存。</w:t>
      </w:r>
    </w:p>
    <w:p w14:paraId="30DB25B2">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0"/>
          <w:sz w:val="24"/>
          <w:szCs w:val="24"/>
          <w:lang w:val="en-US" w:eastAsia="zh-CN" w:bidi="ar-SA"/>
          <w14:textFill>
            <w14:solidFill>
              <w14:schemeClr w14:val="tx1"/>
            </w14:solidFill>
          </w14:textFill>
        </w:rPr>
        <w:t>表6-1主要危险化学品的数量、浓度、状态及其作业场所状况</w:t>
      </w:r>
    </w:p>
    <w:p w14:paraId="1303D3AE">
      <w:pPr>
        <w:spacing w:line="33" w:lineRule="exact"/>
      </w:pPr>
    </w:p>
    <w:tbl>
      <w:tblPr>
        <w:tblStyle w:val="4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9"/>
        <w:gridCol w:w="1125"/>
        <w:gridCol w:w="1899"/>
        <w:gridCol w:w="3537"/>
        <w:gridCol w:w="2157"/>
      </w:tblGrid>
      <w:tr w14:paraId="701A6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55" w:type="pct"/>
            <w:vAlign w:val="center"/>
          </w:tcPr>
          <w:p w14:paraId="00D9363A">
            <w:pPr>
              <w:bidi w:val="0"/>
              <w:jc w:val="center"/>
              <w:rPr>
                <w:b/>
                <w:bCs/>
              </w:rPr>
            </w:pPr>
            <w:r>
              <w:rPr>
                <w:b/>
                <w:bCs/>
              </w:rPr>
              <w:t>序号</w:t>
            </w:r>
          </w:p>
        </w:tc>
        <w:tc>
          <w:tcPr>
            <w:tcW w:w="612" w:type="pct"/>
            <w:vAlign w:val="center"/>
          </w:tcPr>
          <w:p w14:paraId="1FA96DE5">
            <w:pPr>
              <w:bidi w:val="0"/>
              <w:jc w:val="center"/>
              <w:rPr>
                <w:b/>
                <w:bCs/>
              </w:rPr>
            </w:pPr>
            <w:r>
              <w:rPr>
                <w:b/>
                <w:bCs/>
              </w:rPr>
              <w:t>化学品名称</w:t>
            </w:r>
          </w:p>
        </w:tc>
        <w:tc>
          <w:tcPr>
            <w:tcW w:w="1033" w:type="pct"/>
            <w:vAlign w:val="center"/>
          </w:tcPr>
          <w:p w14:paraId="48882FAB">
            <w:pPr>
              <w:bidi w:val="0"/>
              <w:jc w:val="center"/>
              <w:rPr>
                <w:b/>
                <w:bCs/>
                <w:color w:val="000000" w:themeColor="text1"/>
                <w:shd w:val="clear" w:color="auto" w:fill="auto"/>
                <w14:textFill>
                  <w14:solidFill>
                    <w14:schemeClr w14:val="tx1"/>
                  </w14:solidFill>
                </w14:textFill>
              </w:rPr>
            </w:pPr>
            <w:r>
              <w:rPr>
                <w:b/>
                <w:bCs/>
                <w:color w:val="000000" w:themeColor="text1"/>
                <w:shd w:val="clear" w:color="auto" w:fill="auto"/>
                <w14:textFill>
                  <w14:solidFill>
                    <w14:schemeClr w14:val="tx1"/>
                  </w14:solidFill>
                </w14:textFill>
              </w:rPr>
              <w:t>最大可能储存量（t）</w:t>
            </w:r>
          </w:p>
        </w:tc>
        <w:tc>
          <w:tcPr>
            <w:tcW w:w="1924" w:type="pct"/>
            <w:vAlign w:val="center"/>
          </w:tcPr>
          <w:p w14:paraId="5C5D6C0F">
            <w:pPr>
              <w:bidi w:val="0"/>
              <w:jc w:val="center"/>
              <w:rPr>
                <w:b/>
                <w:bCs/>
              </w:rPr>
            </w:pPr>
            <w:r>
              <w:rPr>
                <w:b/>
                <w:bCs/>
              </w:rPr>
              <w:t>主要存在场所及化学品状态、状况</w:t>
            </w:r>
          </w:p>
        </w:tc>
        <w:tc>
          <w:tcPr>
            <w:tcW w:w="1173" w:type="pct"/>
            <w:vAlign w:val="center"/>
          </w:tcPr>
          <w:p w14:paraId="34C77FEF">
            <w:pPr>
              <w:bidi w:val="0"/>
              <w:jc w:val="center"/>
              <w:rPr>
                <w:b/>
                <w:bCs/>
              </w:rPr>
            </w:pPr>
            <w:r>
              <w:rPr>
                <w:b/>
                <w:bCs/>
              </w:rPr>
              <w:t>主要危险特性</w:t>
            </w:r>
          </w:p>
        </w:tc>
      </w:tr>
      <w:tr w14:paraId="07756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55" w:type="pct"/>
            <w:vAlign w:val="center"/>
          </w:tcPr>
          <w:p w14:paraId="585C28D1">
            <w:pPr>
              <w:bidi w:val="0"/>
              <w:jc w:val="center"/>
            </w:pPr>
            <w:r>
              <w:t>1</w:t>
            </w:r>
          </w:p>
        </w:tc>
        <w:tc>
          <w:tcPr>
            <w:tcW w:w="612" w:type="pct"/>
            <w:vAlign w:val="center"/>
          </w:tcPr>
          <w:p w14:paraId="3DF5151B">
            <w:pPr>
              <w:bidi w:val="0"/>
              <w:jc w:val="center"/>
              <w:rPr>
                <w:rFonts w:hint="eastAsia" w:ascii="宋体" w:hAnsi="宋体" w:eastAsia="宋体" w:cs="宋体"/>
              </w:rPr>
            </w:pPr>
            <w:r>
              <w:rPr>
                <w:rFonts w:hint="eastAsia" w:ascii="宋体" w:hAnsi="宋体" w:eastAsia="宋体" w:cs="宋体"/>
              </w:rPr>
              <w:t>汽油</w:t>
            </w:r>
          </w:p>
        </w:tc>
        <w:tc>
          <w:tcPr>
            <w:tcW w:w="1899" w:type="dxa"/>
            <w:vAlign w:val="center"/>
          </w:tcPr>
          <w:p w14:paraId="7AD67334">
            <w:pPr>
              <w:pageBreakBefore w:val="0"/>
              <w:kinsoku/>
              <w:wordWrap/>
              <w:overflowPunct/>
              <w:topLinePunct w:val="0"/>
              <w:autoSpaceDE/>
              <w:autoSpaceDN/>
              <w:bidi w:val="0"/>
              <w:spacing w:line="500" w:lineRule="exact"/>
              <w:jc w:val="center"/>
              <w:textAlignment w:val="auto"/>
              <w:rPr>
                <w:rFonts w:hint="default"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cs="宋体"/>
                <w:color w:val="000000" w:themeColor="text1"/>
                <w:shd w:val="clear" w:color="auto" w:fill="auto"/>
                <w:lang w:val="en-US" w:eastAsia="zh-CN"/>
                <w14:textFill>
                  <w14:solidFill>
                    <w14:schemeClr w14:val="tx1"/>
                  </w14:solidFill>
                </w14:textFill>
              </w:rPr>
              <w:t>75</w:t>
            </w:r>
          </w:p>
        </w:tc>
        <w:tc>
          <w:tcPr>
            <w:tcW w:w="1924" w:type="pct"/>
            <w:vAlign w:val="center"/>
          </w:tcPr>
          <w:p w14:paraId="0D6307A4">
            <w:pPr>
              <w:bidi w:val="0"/>
              <w:jc w:val="center"/>
              <w:rPr>
                <w:rFonts w:hint="eastAsia" w:ascii="宋体" w:hAnsi="宋体" w:eastAsia="宋体" w:cs="宋体"/>
              </w:rPr>
            </w:pPr>
            <w:r>
              <w:rPr>
                <w:rFonts w:hint="eastAsia" w:ascii="宋体" w:hAnsi="宋体" w:eastAsia="宋体" w:cs="宋体"/>
              </w:rPr>
              <w:t>储罐区：液态、纯品，常温常压储存</w:t>
            </w:r>
          </w:p>
        </w:tc>
        <w:tc>
          <w:tcPr>
            <w:tcW w:w="1173" w:type="pct"/>
            <w:vAlign w:val="center"/>
          </w:tcPr>
          <w:p w14:paraId="7D4F6498">
            <w:pPr>
              <w:bidi w:val="0"/>
              <w:jc w:val="center"/>
              <w:rPr>
                <w:rFonts w:hint="eastAsia" w:ascii="宋体" w:hAnsi="宋体" w:eastAsia="宋体" w:cs="宋体"/>
              </w:rPr>
            </w:pPr>
            <w:r>
              <w:rPr>
                <w:rFonts w:hint="eastAsia" w:ascii="宋体" w:hAnsi="宋体" w:eastAsia="宋体" w:cs="宋体"/>
              </w:rPr>
              <w:t>火灾、爆炸</w:t>
            </w:r>
          </w:p>
        </w:tc>
      </w:tr>
      <w:tr w14:paraId="75824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55" w:type="pct"/>
            <w:vAlign w:val="center"/>
          </w:tcPr>
          <w:p w14:paraId="24B56FE7">
            <w:pPr>
              <w:bidi w:val="0"/>
              <w:jc w:val="center"/>
            </w:pPr>
            <w:r>
              <w:t>2</w:t>
            </w:r>
          </w:p>
        </w:tc>
        <w:tc>
          <w:tcPr>
            <w:tcW w:w="612" w:type="pct"/>
            <w:vAlign w:val="center"/>
          </w:tcPr>
          <w:p w14:paraId="71D8F7B9">
            <w:pPr>
              <w:bidi w:val="0"/>
              <w:jc w:val="center"/>
              <w:rPr>
                <w:rFonts w:hint="eastAsia" w:ascii="宋体" w:hAnsi="宋体" w:eastAsia="宋体" w:cs="宋体"/>
              </w:rPr>
            </w:pPr>
            <w:r>
              <w:rPr>
                <w:rFonts w:hint="eastAsia" w:ascii="宋体" w:hAnsi="宋体" w:eastAsia="宋体" w:cs="宋体"/>
              </w:rPr>
              <w:t>柴油</w:t>
            </w:r>
          </w:p>
        </w:tc>
        <w:tc>
          <w:tcPr>
            <w:tcW w:w="1899" w:type="dxa"/>
            <w:vAlign w:val="center"/>
          </w:tcPr>
          <w:p w14:paraId="10C3FF72">
            <w:pPr>
              <w:pageBreakBefore w:val="0"/>
              <w:kinsoku/>
              <w:wordWrap/>
              <w:overflowPunct/>
              <w:topLinePunct w:val="0"/>
              <w:autoSpaceDE/>
              <w:autoSpaceDN/>
              <w:bidi w:val="0"/>
              <w:spacing w:line="500" w:lineRule="exact"/>
              <w:jc w:val="center"/>
              <w:textAlignment w:val="auto"/>
              <w:rPr>
                <w:rFonts w:hint="default"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cs="宋体"/>
                <w:color w:val="000000" w:themeColor="text1"/>
                <w:shd w:val="clear" w:color="auto" w:fill="auto"/>
                <w:lang w:val="en-US" w:eastAsia="zh-CN"/>
                <w14:textFill>
                  <w14:solidFill>
                    <w14:schemeClr w14:val="tx1"/>
                  </w14:solidFill>
                </w14:textFill>
              </w:rPr>
              <w:t>84</w:t>
            </w:r>
          </w:p>
        </w:tc>
        <w:tc>
          <w:tcPr>
            <w:tcW w:w="1924" w:type="pct"/>
            <w:vAlign w:val="center"/>
          </w:tcPr>
          <w:p w14:paraId="7F1F485E">
            <w:pPr>
              <w:bidi w:val="0"/>
              <w:jc w:val="center"/>
              <w:rPr>
                <w:rFonts w:hint="eastAsia" w:ascii="宋体" w:hAnsi="宋体" w:eastAsia="宋体" w:cs="宋体"/>
              </w:rPr>
            </w:pPr>
            <w:r>
              <w:rPr>
                <w:rFonts w:hint="eastAsia" w:ascii="宋体" w:hAnsi="宋体" w:eastAsia="宋体" w:cs="宋体"/>
              </w:rPr>
              <w:t>储罐区：液态、纯品，常温常压储存</w:t>
            </w:r>
          </w:p>
        </w:tc>
        <w:tc>
          <w:tcPr>
            <w:tcW w:w="1173" w:type="pct"/>
            <w:vAlign w:val="center"/>
          </w:tcPr>
          <w:p w14:paraId="15FD1B3E">
            <w:pPr>
              <w:bidi w:val="0"/>
              <w:jc w:val="center"/>
              <w:rPr>
                <w:rFonts w:hint="eastAsia" w:ascii="宋体" w:hAnsi="宋体" w:eastAsia="宋体" w:cs="宋体"/>
              </w:rPr>
            </w:pPr>
            <w:r>
              <w:rPr>
                <w:rFonts w:hint="eastAsia" w:ascii="宋体" w:hAnsi="宋体" w:eastAsia="宋体" w:cs="宋体"/>
              </w:rPr>
              <w:t>火灾、爆炸</w:t>
            </w:r>
          </w:p>
        </w:tc>
      </w:tr>
    </w:tbl>
    <w:p w14:paraId="4161D2AF">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406" w:name="_Toc21289"/>
      <w:bookmarkStart w:id="407" w:name="_Toc31583"/>
      <w:bookmarkStart w:id="408" w:name="_Toc3678"/>
      <w:bookmarkStart w:id="409" w:name="_Toc10690"/>
      <w:r>
        <w:rPr>
          <w:rFonts w:hint="eastAsia" w:ascii="宋体" w:hAnsi="宋体" w:eastAsia="宋体" w:cs="宋体"/>
          <w:b/>
          <w:smallCaps/>
          <w:color w:val="auto"/>
          <w:kern w:val="0"/>
          <w:szCs w:val="20"/>
          <w:lang w:val="en-US" w:eastAsia="zh-CN"/>
        </w:rPr>
        <w:t>6.2作业条件危险性评价</w:t>
      </w:r>
      <w:bookmarkEnd w:id="406"/>
      <w:bookmarkEnd w:id="407"/>
      <w:bookmarkEnd w:id="408"/>
      <w:bookmarkEnd w:id="409"/>
    </w:p>
    <w:p w14:paraId="02E0319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该加油站主要包括加油、卸油、储存及供配电，根据经营过程中的操作条件及作业人员进入危险环境的频次，下面分别对加油、卸油、储存及供配电的各参数进行取值计算。</w:t>
      </w:r>
    </w:p>
    <w:p w14:paraId="5DD77AD4">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表6-2作业条件危险性分析评价结果表</w:t>
      </w:r>
    </w:p>
    <w:tbl>
      <w:tblPr>
        <w:tblStyle w:val="4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8"/>
        <w:gridCol w:w="531"/>
        <w:gridCol w:w="2495"/>
        <w:gridCol w:w="625"/>
        <w:gridCol w:w="625"/>
        <w:gridCol w:w="625"/>
        <w:gridCol w:w="776"/>
        <w:gridCol w:w="763"/>
        <w:gridCol w:w="1191"/>
        <w:gridCol w:w="758"/>
      </w:tblGrid>
      <w:tr w14:paraId="3EE6E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bottom w:val="nil"/>
            </w:tcBorders>
            <w:vAlign w:val="center"/>
          </w:tcPr>
          <w:p w14:paraId="15555B08">
            <w:pPr>
              <w:bidi w:val="0"/>
              <w:jc w:val="center"/>
              <w:rPr>
                <w:b/>
                <w:bCs/>
              </w:rPr>
            </w:pPr>
            <w:r>
              <w:rPr>
                <w:b/>
                <w:bCs/>
              </w:rPr>
              <w:t>单元</w:t>
            </w:r>
          </w:p>
          <w:p w14:paraId="6058CC34">
            <w:pPr>
              <w:bidi w:val="0"/>
              <w:jc w:val="center"/>
              <w:rPr>
                <w:b/>
                <w:bCs/>
              </w:rPr>
            </w:pPr>
            <w:r>
              <w:rPr>
                <w:b/>
                <w:bCs/>
              </w:rPr>
              <w:t>项目</w:t>
            </w:r>
          </w:p>
        </w:tc>
        <w:tc>
          <w:tcPr>
            <w:tcW w:w="1646" w:type="pct"/>
            <w:gridSpan w:val="2"/>
            <w:vMerge w:val="restart"/>
            <w:tcBorders>
              <w:bottom w:val="nil"/>
            </w:tcBorders>
            <w:vAlign w:val="center"/>
          </w:tcPr>
          <w:p w14:paraId="3F3E0EF4">
            <w:pPr>
              <w:bidi w:val="0"/>
              <w:jc w:val="center"/>
              <w:rPr>
                <w:b/>
                <w:bCs/>
              </w:rPr>
            </w:pPr>
            <w:r>
              <w:rPr>
                <w:b/>
                <w:bCs/>
              </w:rPr>
              <w:t>主要危险因素</w:t>
            </w:r>
          </w:p>
        </w:tc>
        <w:tc>
          <w:tcPr>
            <w:tcW w:w="340" w:type="pct"/>
            <w:vMerge w:val="restart"/>
            <w:tcBorders>
              <w:bottom w:val="nil"/>
            </w:tcBorders>
            <w:vAlign w:val="center"/>
          </w:tcPr>
          <w:p w14:paraId="20AAFB34">
            <w:pPr>
              <w:bidi w:val="0"/>
              <w:jc w:val="center"/>
              <w:rPr>
                <w:b/>
                <w:bCs/>
              </w:rPr>
            </w:pPr>
            <w:r>
              <w:rPr>
                <w:b/>
                <w:bCs/>
              </w:rPr>
              <w:t>L</w:t>
            </w:r>
          </w:p>
        </w:tc>
        <w:tc>
          <w:tcPr>
            <w:tcW w:w="340" w:type="pct"/>
            <w:vMerge w:val="restart"/>
            <w:tcBorders>
              <w:bottom w:val="nil"/>
            </w:tcBorders>
            <w:vAlign w:val="center"/>
          </w:tcPr>
          <w:p w14:paraId="710D44D4">
            <w:pPr>
              <w:bidi w:val="0"/>
              <w:jc w:val="center"/>
              <w:rPr>
                <w:b/>
                <w:bCs/>
              </w:rPr>
            </w:pPr>
            <w:r>
              <w:rPr>
                <w:b/>
                <w:bCs/>
              </w:rPr>
              <w:t>E</w:t>
            </w:r>
          </w:p>
        </w:tc>
        <w:tc>
          <w:tcPr>
            <w:tcW w:w="340" w:type="pct"/>
            <w:vMerge w:val="restart"/>
            <w:tcBorders>
              <w:bottom w:val="nil"/>
            </w:tcBorders>
            <w:vAlign w:val="center"/>
          </w:tcPr>
          <w:p w14:paraId="1D867820">
            <w:pPr>
              <w:bidi w:val="0"/>
              <w:jc w:val="center"/>
              <w:rPr>
                <w:b/>
                <w:bCs/>
              </w:rPr>
            </w:pPr>
            <w:r>
              <w:rPr>
                <w:b/>
                <w:bCs/>
              </w:rPr>
              <w:t>C</w:t>
            </w:r>
          </w:p>
        </w:tc>
        <w:tc>
          <w:tcPr>
            <w:tcW w:w="422" w:type="pct"/>
            <w:vMerge w:val="restart"/>
            <w:tcBorders>
              <w:bottom w:val="nil"/>
            </w:tcBorders>
            <w:vAlign w:val="center"/>
          </w:tcPr>
          <w:p w14:paraId="4747AFEE">
            <w:pPr>
              <w:bidi w:val="0"/>
              <w:jc w:val="center"/>
              <w:rPr>
                <w:b/>
                <w:bCs/>
              </w:rPr>
            </w:pPr>
            <w:r>
              <w:rPr>
                <w:b/>
                <w:bCs/>
              </w:rPr>
              <w:t>D</w:t>
            </w:r>
          </w:p>
        </w:tc>
        <w:tc>
          <w:tcPr>
            <w:tcW w:w="1475" w:type="pct"/>
            <w:gridSpan w:val="3"/>
            <w:vAlign w:val="center"/>
          </w:tcPr>
          <w:p w14:paraId="66D30146">
            <w:pPr>
              <w:bidi w:val="0"/>
              <w:jc w:val="center"/>
              <w:rPr>
                <w:b/>
                <w:bCs/>
              </w:rPr>
            </w:pPr>
            <w:r>
              <w:rPr>
                <w:b/>
                <w:bCs/>
              </w:rPr>
              <w:t>危险分级</w:t>
            </w:r>
          </w:p>
        </w:tc>
      </w:tr>
      <w:tr w14:paraId="75081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tcBorders>
            <w:vAlign w:val="center"/>
          </w:tcPr>
          <w:p w14:paraId="1514B5B5">
            <w:pPr>
              <w:bidi w:val="0"/>
              <w:jc w:val="center"/>
              <w:rPr>
                <w:b/>
                <w:bCs/>
              </w:rPr>
            </w:pPr>
          </w:p>
        </w:tc>
        <w:tc>
          <w:tcPr>
            <w:tcW w:w="1646" w:type="pct"/>
            <w:gridSpan w:val="2"/>
            <w:vMerge w:val="continue"/>
            <w:tcBorders>
              <w:top w:val="nil"/>
            </w:tcBorders>
            <w:vAlign w:val="center"/>
          </w:tcPr>
          <w:p w14:paraId="1B573F05">
            <w:pPr>
              <w:bidi w:val="0"/>
              <w:jc w:val="center"/>
              <w:rPr>
                <w:b/>
                <w:bCs/>
              </w:rPr>
            </w:pPr>
          </w:p>
        </w:tc>
        <w:tc>
          <w:tcPr>
            <w:tcW w:w="340" w:type="pct"/>
            <w:vMerge w:val="continue"/>
            <w:tcBorders>
              <w:top w:val="nil"/>
            </w:tcBorders>
            <w:vAlign w:val="center"/>
          </w:tcPr>
          <w:p w14:paraId="25005AF7">
            <w:pPr>
              <w:bidi w:val="0"/>
              <w:jc w:val="center"/>
              <w:rPr>
                <w:b/>
                <w:bCs/>
              </w:rPr>
            </w:pPr>
          </w:p>
        </w:tc>
        <w:tc>
          <w:tcPr>
            <w:tcW w:w="340" w:type="pct"/>
            <w:vMerge w:val="continue"/>
            <w:tcBorders>
              <w:top w:val="nil"/>
            </w:tcBorders>
            <w:vAlign w:val="center"/>
          </w:tcPr>
          <w:p w14:paraId="251D8C8A">
            <w:pPr>
              <w:bidi w:val="0"/>
              <w:jc w:val="center"/>
              <w:rPr>
                <w:b/>
                <w:bCs/>
              </w:rPr>
            </w:pPr>
          </w:p>
        </w:tc>
        <w:tc>
          <w:tcPr>
            <w:tcW w:w="340" w:type="pct"/>
            <w:vMerge w:val="continue"/>
            <w:tcBorders>
              <w:top w:val="nil"/>
            </w:tcBorders>
            <w:vAlign w:val="center"/>
          </w:tcPr>
          <w:p w14:paraId="3E701912">
            <w:pPr>
              <w:bidi w:val="0"/>
              <w:jc w:val="center"/>
              <w:rPr>
                <w:b/>
                <w:bCs/>
              </w:rPr>
            </w:pPr>
          </w:p>
        </w:tc>
        <w:tc>
          <w:tcPr>
            <w:tcW w:w="422" w:type="pct"/>
            <w:vMerge w:val="continue"/>
            <w:tcBorders>
              <w:top w:val="nil"/>
            </w:tcBorders>
            <w:vAlign w:val="center"/>
          </w:tcPr>
          <w:p w14:paraId="7374F713">
            <w:pPr>
              <w:bidi w:val="0"/>
              <w:jc w:val="center"/>
              <w:rPr>
                <w:b/>
                <w:bCs/>
              </w:rPr>
            </w:pPr>
          </w:p>
        </w:tc>
        <w:tc>
          <w:tcPr>
            <w:tcW w:w="415" w:type="pct"/>
            <w:vAlign w:val="center"/>
          </w:tcPr>
          <w:p w14:paraId="5744D9A6">
            <w:pPr>
              <w:bidi w:val="0"/>
              <w:jc w:val="center"/>
              <w:rPr>
                <w:b/>
                <w:bCs/>
              </w:rPr>
            </w:pPr>
            <w:r>
              <w:rPr>
                <w:b/>
                <w:bCs/>
              </w:rPr>
              <w:t>风险</w:t>
            </w:r>
          </w:p>
          <w:p w14:paraId="4ACB6867">
            <w:pPr>
              <w:bidi w:val="0"/>
              <w:jc w:val="center"/>
              <w:rPr>
                <w:b/>
                <w:bCs/>
              </w:rPr>
            </w:pPr>
            <w:r>
              <w:rPr>
                <w:b/>
                <w:bCs/>
              </w:rPr>
              <w:t>级别</w:t>
            </w:r>
          </w:p>
        </w:tc>
        <w:tc>
          <w:tcPr>
            <w:tcW w:w="648" w:type="pct"/>
            <w:vAlign w:val="center"/>
          </w:tcPr>
          <w:p w14:paraId="2AE8C77E">
            <w:pPr>
              <w:bidi w:val="0"/>
              <w:jc w:val="center"/>
              <w:rPr>
                <w:b/>
                <w:bCs/>
              </w:rPr>
            </w:pPr>
            <w:r>
              <w:rPr>
                <w:b/>
                <w:bCs/>
              </w:rPr>
              <w:t>风险程度</w:t>
            </w:r>
          </w:p>
        </w:tc>
        <w:tc>
          <w:tcPr>
            <w:tcW w:w="412" w:type="pct"/>
            <w:vAlign w:val="center"/>
          </w:tcPr>
          <w:p w14:paraId="30FB0AF9">
            <w:pPr>
              <w:bidi w:val="0"/>
              <w:jc w:val="center"/>
              <w:rPr>
                <w:b/>
                <w:bCs/>
              </w:rPr>
            </w:pPr>
            <w:r>
              <w:rPr>
                <w:b/>
                <w:bCs/>
              </w:rPr>
              <w:t>代表</w:t>
            </w:r>
          </w:p>
          <w:p w14:paraId="5FD5757B">
            <w:pPr>
              <w:bidi w:val="0"/>
              <w:jc w:val="center"/>
              <w:rPr>
                <w:b/>
                <w:bCs/>
              </w:rPr>
            </w:pPr>
            <w:r>
              <w:rPr>
                <w:b/>
                <w:bCs/>
              </w:rPr>
              <w:t>颜色</w:t>
            </w:r>
          </w:p>
        </w:tc>
      </w:tr>
      <w:tr w14:paraId="25BC0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bottom w:val="nil"/>
            </w:tcBorders>
            <w:vAlign w:val="center"/>
          </w:tcPr>
          <w:p w14:paraId="218996F0">
            <w:pPr>
              <w:bidi w:val="0"/>
              <w:jc w:val="center"/>
            </w:pPr>
            <w:r>
              <w:t>加油</w:t>
            </w:r>
          </w:p>
        </w:tc>
        <w:tc>
          <w:tcPr>
            <w:tcW w:w="1646" w:type="pct"/>
            <w:gridSpan w:val="2"/>
            <w:vAlign w:val="center"/>
          </w:tcPr>
          <w:p w14:paraId="46A21049">
            <w:pPr>
              <w:bidi w:val="0"/>
              <w:jc w:val="center"/>
            </w:pPr>
            <w:r>
              <w:t>油品从车辆油箱内溢出</w:t>
            </w:r>
          </w:p>
        </w:tc>
        <w:tc>
          <w:tcPr>
            <w:tcW w:w="340" w:type="pct"/>
            <w:vAlign w:val="center"/>
          </w:tcPr>
          <w:p w14:paraId="3D55D644">
            <w:pPr>
              <w:bidi w:val="0"/>
              <w:jc w:val="center"/>
            </w:pPr>
            <w:r>
              <w:t>1</w:t>
            </w:r>
          </w:p>
        </w:tc>
        <w:tc>
          <w:tcPr>
            <w:tcW w:w="340" w:type="pct"/>
            <w:vAlign w:val="center"/>
          </w:tcPr>
          <w:p w14:paraId="65210921">
            <w:pPr>
              <w:bidi w:val="0"/>
              <w:jc w:val="center"/>
            </w:pPr>
            <w:r>
              <w:t>6</w:t>
            </w:r>
          </w:p>
        </w:tc>
        <w:tc>
          <w:tcPr>
            <w:tcW w:w="340" w:type="pct"/>
            <w:vAlign w:val="center"/>
          </w:tcPr>
          <w:p w14:paraId="22982293">
            <w:pPr>
              <w:bidi w:val="0"/>
              <w:jc w:val="center"/>
            </w:pPr>
            <w:r>
              <w:t>15</w:t>
            </w:r>
          </w:p>
        </w:tc>
        <w:tc>
          <w:tcPr>
            <w:tcW w:w="422" w:type="pct"/>
            <w:vAlign w:val="center"/>
          </w:tcPr>
          <w:p w14:paraId="3885B63B">
            <w:pPr>
              <w:bidi w:val="0"/>
              <w:jc w:val="center"/>
            </w:pPr>
            <w:r>
              <w:t>90</w:t>
            </w:r>
          </w:p>
        </w:tc>
        <w:tc>
          <w:tcPr>
            <w:tcW w:w="415" w:type="pct"/>
            <w:vAlign w:val="center"/>
          </w:tcPr>
          <w:p w14:paraId="338DD3F7">
            <w:pPr>
              <w:bidi w:val="0"/>
              <w:jc w:val="center"/>
            </w:pPr>
            <w:r>
              <w:t>Ⅲ</w:t>
            </w:r>
          </w:p>
        </w:tc>
        <w:tc>
          <w:tcPr>
            <w:tcW w:w="648" w:type="pct"/>
            <w:vAlign w:val="center"/>
          </w:tcPr>
          <w:p w14:paraId="36F22D64">
            <w:pPr>
              <w:bidi w:val="0"/>
              <w:jc w:val="center"/>
            </w:pPr>
            <w:r>
              <w:t>一般风险</w:t>
            </w:r>
          </w:p>
        </w:tc>
        <w:tc>
          <w:tcPr>
            <w:tcW w:w="412" w:type="pct"/>
            <w:vAlign w:val="center"/>
          </w:tcPr>
          <w:p w14:paraId="74E548DE">
            <w:pPr>
              <w:bidi w:val="0"/>
              <w:jc w:val="center"/>
            </w:pPr>
            <w:r>
              <w:t>黄色</w:t>
            </w:r>
          </w:p>
        </w:tc>
      </w:tr>
      <w:tr w14:paraId="1AE2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32743565">
            <w:pPr>
              <w:bidi w:val="0"/>
              <w:jc w:val="center"/>
            </w:pPr>
          </w:p>
        </w:tc>
        <w:tc>
          <w:tcPr>
            <w:tcW w:w="1646" w:type="pct"/>
            <w:gridSpan w:val="2"/>
            <w:vAlign w:val="center"/>
          </w:tcPr>
          <w:p w14:paraId="1269747B">
            <w:pPr>
              <w:bidi w:val="0"/>
              <w:jc w:val="center"/>
            </w:pPr>
            <w:r>
              <w:t>加油枪自封功能失效，不能实现自动跳停</w:t>
            </w:r>
          </w:p>
        </w:tc>
        <w:tc>
          <w:tcPr>
            <w:tcW w:w="340" w:type="pct"/>
            <w:vAlign w:val="center"/>
          </w:tcPr>
          <w:p w14:paraId="2C55B301">
            <w:pPr>
              <w:bidi w:val="0"/>
              <w:jc w:val="center"/>
            </w:pPr>
            <w:r>
              <w:t>1</w:t>
            </w:r>
          </w:p>
        </w:tc>
        <w:tc>
          <w:tcPr>
            <w:tcW w:w="340" w:type="pct"/>
            <w:vAlign w:val="center"/>
          </w:tcPr>
          <w:p w14:paraId="4000751A">
            <w:pPr>
              <w:bidi w:val="0"/>
              <w:jc w:val="center"/>
            </w:pPr>
            <w:r>
              <w:t>6</w:t>
            </w:r>
          </w:p>
        </w:tc>
        <w:tc>
          <w:tcPr>
            <w:tcW w:w="340" w:type="pct"/>
            <w:vAlign w:val="center"/>
          </w:tcPr>
          <w:p w14:paraId="3F6B44A6">
            <w:pPr>
              <w:bidi w:val="0"/>
              <w:jc w:val="center"/>
            </w:pPr>
            <w:r>
              <w:t>15</w:t>
            </w:r>
          </w:p>
        </w:tc>
        <w:tc>
          <w:tcPr>
            <w:tcW w:w="422" w:type="pct"/>
            <w:vAlign w:val="center"/>
          </w:tcPr>
          <w:p w14:paraId="6F4445E5">
            <w:pPr>
              <w:bidi w:val="0"/>
              <w:jc w:val="center"/>
            </w:pPr>
            <w:r>
              <w:t>90</w:t>
            </w:r>
          </w:p>
        </w:tc>
        <w:tc>
          <w:tcPr>
            <w:tcW w:w="415" w:type="pct"/>
            <w:vAlign w:val="center"/>
          </w:tcPr>
          <w:p w14:paraId="700BD890">
            <w:pPr>
              <w:bidi w:val="0"/>
              <w:jc w:val="center"/>
            </w:pPr>
            <w:r>
              <w:t>Ⅲ</w:t>
            </w:r>
          </w:p>
        </w:tc>
        <w:tc>
          <w:tcPr>
            <w:tcW w:w="648" w:type="pct"/>
            <w:vAlign w:val="center"/>
          </w:tcPr>
          <w:p w14:paraId="18F0535C">
            <w:pPr>
              <w:bidi w:val="0"/>
              <w:jc w:val="center"/>
            </w:pPr>
            <w:r>
              <w:t>一般风险</w:t>
            </w:r>
          </w:p>
        </w:tc>
        <w:tc>
          <w:tcPr>
            <w:tcW w:w="412" w:type="pct"/>
            <w:vAlign w:val="center"/>
          </w:tcPr>
          <w:p w14:paraId="7AD15997">
            <w:pPr>
              <w:bidi w:val="0"/>
              <w:jc w:val="center"/>
            </w:pPr>
            <w:r>
              <w:t>黄色</w:t>
            </w:r>
          </w:p>
        </w:tc>
      </w:tr>
      <w:tr w14:paraId="11EB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6508C193">
            <w:pPr>
              <w:bidi w:val="0"/>
              <w:jc w:val="center"/>
            </w:pPr>
          </w:p>
        </w:tc>
        <w:tc>
          <w:tcPr>
            <w:tcW w:w="1646" w:type="pct"/>
            <w:gridSpan w:val="2"/>
            <w:vAlign w:val="center"/>
          </w:tcPr>
          <w:p w14:paraId="68EDB121">
            <w:pPr>
              <w:bidi w:val="0"/>
              <w:jc w:val="center"/>
            </w:pPr>
            <w:r>
              <w:t>加油机自动控制功能故障，加油枪开关把跳开后油泵电机不能自动停机</w:t>
            </w:r>
          </w:p>
        </w:tc>
        <w:tc>
          <w:tcPr>
            <w:tcW w:w="340" w:type="pct"/>
            <w:vAlign w:val="center"/>
          </w:tcPr>
          <w:p w14:paraId="0AF39B53">
            <w:pPr>
              <w:bidi w:val="0"/>
              <w:jc w:val="center"/>
            </w:pPr>
          </w:p>
          <w:p w14:paraId="0580A01F">
            <w:pPr>
              <w:bidi w:val="0"/>
              <w:jc w:val="center"/>
            </w:pPr>
            <w:r>
              <w:t>0.5</w:t>
            </w:r>
          </w:p>
        </w:tc>
        <w:tc>
          <w:tcPr>
            <w:tcW w:w="340" w:type="pct"/>
            <w:vAlign w:val="center"/>
          </w:tcPr>
          <w:p w14:paraId="793FF068">
            <w:pPr>
              <w:bidi w:val="0"/>
              <w:jc w:val="center"/>
            </w:pPr>
          </w:p>
          <w:p w14:paraId="6520C8A3">
            <w:pPr>
              <w:bidi w:val="0"/>
              <w:jc w:val="center"/>
            </w:pPr>
            <w:r>
              <w:t>6</w:t>
            </w:r>
          </w:p>
        </w:tc>
        <w:tc>
          <w:tcPr>
            <w:tcW w:w="340" w:type="pct"/>
            <w:vAlign w:val="center"/>
          </w:tcPr>
          <w:p w14:paraId="77C69C22">
            <w:pPr>
              <w:bidi w:val="0"/>
              <w:jc w:val="center"/>
            </w:pPr>
          </w:p>
          <w:p w14:paraId="54A45F92">
            <w:pPr>
              <w:bidi w:val="0"/>
              <w:jc w:val="center"/>
            </w:pPr>
            <w:r>
              <w:t>15</w:t>
            </w:r>
          </w:p>
        </w:tc>
        <w:tc>
          <w:tcPr>
            <w:tcW w:w="422" w:type="pct"/>
            <w:vAlign w:val="center"/>
          </w:tcPr>
          <w:p w14:paraId="57FCDCC2">
            <w:pPr>
              <w:bidi w:val="0"/>
              <w:jc w:val="center"/>
            </w:pPr>
          </w:p>
          <w:p w14:paraId="302819B2">
            <w:pPr>
              <w:bidi w:val="0"/>
              <w:jc w:val="center"/>
            </w:pPr>
            <w:r>
              <w:t>45</w:t>
            </w:r>
          </w:p>
        </w:tc>
        <w:tc>
          <w:tcPr>
            <w:tcW w:w="415" w:type="pct"/>
            <w:vAlign w:val="center"/>
          </w:tcPr>
          <w:p w14:paraId="013C8BEA">
            <w:pPr>
              <w:bidi w:val="0"/>
              <w:jc w:val="center"/>
            </w:pPr>
          </w:p>
          <w:p w14:paraId="30574C93">
            <w:pPr>
              <w:bidi w:val="0"/>
              <w:jc w:val="center"/>
            </w:pPr>
            <w:r>
              <w:t>Ⅳ</w:t>
            </w:r>
          </w:p>
        </w:tc>
        <w:tc>
          <w:tcPr>
            <w:tcW w:w="648" w:type="pct"/>
            <w:vAlign w:val="center"/>
          </w:tcPr>
          <w:p w14:paraId="6385035C">
            <w:pPr>
              <w:bidi w:val="0"/>
              <w:jc w:val="center"/>
            </w:pPr>
          </w:p>
          <w:p w14:paraId="6740F2F1">
            <w:pPr>
              <w:bidi w:val="0"/>
              <w:jc w:val="center"/>
            </w:pPr>
            <w:r>
              <w:t>低风险</w:t>
            </w:r>
          </w:p>
        </w:tc>
        <w:tc>
          <w:tcPr>
            <w:tcW w:w="412" w:type="pct"/>
            <w:vAlign w:val="center"/>
          </w:tcPr>
          <w:p w14:paraId="0AB4A246">
            <w:pPr>
              <w:bidi w:val="0"/>
              <w:jc w:val="center"/>
            </w:pPr>
          </w:p>
          <w:p w14:paraId="1CDB92E2">
            <w:pPr>
              <w:bidi w:val="0"/>
              <w:jc w:val="center"/>
            </w:pPr>
            <w:r>
              <w:t>蓝色</w:t>
            </w:r>
          </w:p>
        </w:tc>
      </w:tr>
      <w:tr w14:paraId="3BF53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13B852CD">
            <w:pPr>
              <w:bidi w:val="0"/>
              <w:jc w:val="center"/>
            </w:pPr>
          </w:p>
        </w:tc>
        <w:tc>
          <w:tcPr>
            <w:tcW w:w="1646" w:type="pct"/>
            <w:gridSpan w:val="2"/>
            <w:vAlign w:val="center"/>
          </w:tcPr>
          <w:p w14:paraId="11E72DA5">
            <w:pPr>
              <w:bidi w:val="0"/>
              <w:jc w:val="center"/>
            </w:pPr>
            <w:r>
              <w:t>给塑料桶加注汽油</w:t>
            </w:r>
          </w:p>
        </w:tc>
        <w:tc>
          <w:tcPr>
            <w:tcW w:w="340" w:type="pct"/>
            <w:vAlign w:val="center"/>
          </w:tcPr>
          <w:p w14:paraId="066ED2C1">
            <w:pPr>
              <w:bidi w:val="0"/>
              <w:jc w:val="center"/>
            </w:pPr>
            <w:r>
              <w:t>1</w:t>
            </w:r>
          </w:p>
        </w:tc>
        <w:tc>
          <w:tcPr>
            <w:tcW w:w="340" w:type="pct"/>
            <w:vAlign w:val="center"/>
          </w:tcPr>
          <w:p w14:paraId="4B6AB7D1">
            <w:pPr>
              <w:bidi w:val="0"/>
              <w:jc w:val="center"/>
            </w:pPr>
            <w:r>
              <w:t>6</w:t>
            </w:r>
          </w:p>
        </w:tc>
        <w:tc>
          <w:tcPr>
            <w:tcW w:w="340" w:type="pct"/>
            <w:vAlign w:val="center"/>
          </w:tcPr>
          <w:p w14:paraId="09A59A94">
            <w:pPr>
              <w:bidi w:val="0"/>
              <w:jc w:val="center"/>
            </w:pPr>
            <w:r>
              <w:t>15</w:t>
            </w:r>
          </w:p>
        </w:tc>
        <w:tc>
          <w:tcPr>
            <w:tcW w:w="422" w:type="pct"/>
            <w:vAlign w:val="center"/>
          </w:tcPr>
          <w:p w14:paraId="020A7FCC">
            <w:pPr>
              <w:bidi w:val="0"/>
              <w:jc w:val="center"/>
            </w:pPr>
            <w:r>
              <w:t>90</w:t>
            </w:r>
          </w:p>
        </w:tc>
        <w:tc>
          <w:tcPr>
            <w:tcW w:w="415" w:type="pct"/>
            <w:vAlign w:val="center"/>
          </w:tcPr>
          <w:p w14:paraId="61C7004A">
            <w:pPr>
              <w:bidi w:val="0"/>
              <w:jc w:val="center"/>
            </w:pPr>
            <w:r>
              <w:t>Ⅲ</w:t>
            </w:r>
          </w:p>
        </w:tc>
        <w:tc>
          <w:tcPr>
            <w:tcW w:w="648" w:type="pct"/>
            <w:vAlign w:val="center"/>
          </w:tcPr>
          <w:p w14:paraId="10A051A6">
            <w:pPr>
              <w:bidi w:val="0"/>
              <w:jc w:val="center"/>
            </w:pPr>
            <w:r>
              <w:t>一般风险</w:t>
            </w:r>
          </w:p>
        </w:tc>
        <w:tc>
          <w:tcPr>
            <w:tcW w:w="412" w:type="pct"/>
            <w:vAlign w:val="center"/>
          </w:tcPr>
          <w:p w14:paraId="713A1F53">
            <w:pPr>
              <w:bidi w:val="0"/>
              <w:jc w:val="center"/>
            </w:pPr>
            <w:r>
              <w:t>黄色</w:t>
            </w:r>
          </w:p>
        </w:tc>
      </w:tr>
      <w:tr w14:paraId="422B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3158BDE8">
            <w:pPr>
              <w:bidi w:val="0"/>
              <w:jc w:val="center"/>
            </w:pPr>
          </w:p>
        </w:tc>
        <w:tc>
          <w:tcPr>
            <w:tcW w:w="1646" w:type="pct"/>
            <w:gridSpan w:val="2"/>
            <w:vAlign w:val="center"/>
          </w:tcPr>
          <w:p w14:paraId="04EF7596">
            <w:pPr>
              <w:bidi w:val="0"/>
              <w:jc w:val="center"/>
            </w:pPr>
            <w:r>
              <w:t>加油操作时未穿戴防静电工作服</w:t>
            </w:r>
          </w:p>
        </w:tc>
        <w:tc>
          <w:tcPr>
            <w:tcW w:w="340" w:type="pct"/>
            <w:vAlign w:val="center"/>
          </w:tcPr>
          <w:p w14:paraId="39DFC456">
            <w:pPr>
              <w:bidi w:val="0"/>
              <w:jc w:val="center"/>
            </w:pPr>
            <w:r>
              <w:t>1</w:t>
            </w:r>
          </w:p>
        </w:tc>
        <w:tc>
          <w:tcPr>
            <w:tcW w:w="340" w:type="pct"/>
            <w:vAlign w:val="center"/>
          </w:tcPr>
          <w:p w14:paraId="0CF2A3E9">
            <w:pPr>
              <w:bidi w:val="0"/>
              <w:jc w:val="center"/>
            </w:pPr>
            <w:r>
              <w:t>6</w:t>
            </w:r>
          </w:p>
        </w:tc>
        <w:tc>
          <w:tcPr>
            <w:tcW w:w="340" w:type="pct"/>
            <w:vAlign w:val="center"/>
          </w:tcPr>
          <w:p w14:paraId="16DB72F6">
            <w:pPr>
              <w:bidi w:val="0"/>
              <w:jc w:val="center"/>
            </w:pPr>
            <w:r>
              <w:t>15</w:t>
            </w:r>
          </w:p>
        </w:tc>
        <w:tc>
          <w:tcPr>
            <w:tcW w:w="422" w:type="pct"/>
            <w:vAlign w:val="center"/>
          </w:tcPr>
          <w:p w14:paraId="278E6474">
            <w:pPr>
              <w:bidi w:val="0"/>
              <w:jc w:val="center"/>
            </w:pPr>
            <w:r>
              <w:t>90</w:t>
            </w:r>
          </w:p>
        </w:tc>
        <w:tc>
          <w:tcPr>
            <w:tcW w:w="415" w:type="pct"/>
            <w:vAlign w:val="center"/>
          </w:tcPr>
          <w:p w14:paraId="05E00F5E">
            <w:pPr>
              <w:bidi w:val="0"/>
              <w:jc w:val="center"/>
            </w:pPr>
            <w:r>
              <w:t>Ⅲ</w:t>
            </w:r>
          </w:p>
        </w:tc>
        <w:tc>
          <w:tcPr>
            <w:tcW w:w="648" w:type="pct"/>
            <w:vAlign w:val="center"/>
          </w:tcPr>
          <w:p w14:paraId="351F84BE">
            <w:pPr>
              <w:bidi w:val="0"/>
              <w:jc w:val="center"/>
            </w:pPr>
            <w:r>
              <w:t>一般风险</w:t>
            </w:r>
          </w:p>
        </w:tc>
        <w:tc>
          <w:tcPr>
            <w:tcW w:w="412" w:type="pct"/>
            <w:vAlign w:val="center"/>
          </w:tcPr>
          <w:p w14:paraId="6679B26E">
            <w:pPr>
              <w:bidi w:val="0"/>
              <w:jc w:val="center"/>
            </w:pPr>
            <w:r>
              <w:t>黄色</w:t>
            </w:r>
          </w:p>
        </w:tc>
      </w:tr>
      <w:tr w14:paraId="2F2CB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325F29F5">
            <w:pPr>
              <w:bidi w:val="0"/>
              <w:jc w:val="center"/>
            </w:pPr>
          </w:p>
        </w:tc>
        <w:tc>
          <w:tcPr>
            <w:tcW w:w="1646" w:type="pct"/>
            <w:gridSpan w:val="2"/>
            <w:vAlign w:val="center"/>
          </w:tcPr>
          <w:p w14:paraId="2DDDC504">
            <w:pPr>
              <w:bidi w:val="0"/>
              <w:jc w:val="center"/>
            </w:pPr>
            <w:r>
              <w:t>未熄火加油</w:t>
            </w:r>
          </w:p>
        </w:tc>
        <w:tc>
          <w:tcPr>
            <w:tcW w:w="340" w:type="pct"/>
            <w:vAlign w:val="center"/>
          </w:tcPr>
          <w:p w14:paraId="7B1FADDA">
            <w:pPr>
              <w:bidi w:val="0"/>
              <w:jc w:val="center"/>
            </w:pPr>
            <w:r>
              <w:t>1</w:t>
            </w:r>
          </w:p>
        </w:tc>
        <w:tc>
          <w:tcPr>
            <w:tcW w:w="340" w:type="pct"/>
            <w:vAlign w:val="center"/>
          </w:tcPr>
          <w:p w14:paraId="23964079">
            <w:pPr>
              <w:bidi w:val="0"/>
              <w:jc w:val="center"/>
            </w:pPr>
            <w:r>
              <w:t>6</w:t>
            </w:r>
          </w:p>
        </w:tc>
        <w:tc>
          <w:tcPr>
            <w:tcW w:w="340" w:type="pct"/>
            <w:vAlign w:val="center"/>
          </w:tcPr>
          <w:p w14:paraId="00973BE3">
            <w:pPr>
              <w:bidi w:val="0"/>
              <w:jc w:val="center"/>
            </w:pPr>
            <w:r>
              <w:t>15</w:t>
            </w:r>
          </w:p>
        </w:tc>
        <w:tc>
          <w:tcPr>
            <w:tcW w:w="422" w:type="pct"/>
            <w:vAlign w:val="center"/>
          </w:tcPr>
          <w:p w14:paraId="7404ABF7">
            <w:pPr>
              <w:bidi w:val="0"/>
              <w:jc w:val="center"/>
            </w:pPr>
            <w:r>
              <w:t>90</w:t>
            </w:r>
          </w:p>
        </w:tc>
        <w:tc>
          <w:tcPr>
            <w:tcW w:w="415" w:type="pct"/>
            <w:vAlign w:val="center"/>
          </w:tcPr>
          <w:p w14:paraId="1A10E86C">
            <w:pPr>
              <w:bidi w:val="0"/>
              <w:jc w:val="center"/>
            </w:pPr>
            <w:r>
              <w:t>Ⅲ</w:t>
            </w:r>
          </w:p>
        </w:tc>
        <w:tc>
          <w:tcPr>
            <w:tcW w:w="648" w:type="pct"/>
            <w:vAlign w:val="center"/>
          </w:tcPr>
          <w:p w14:paraId="26DFFCC5">
            <w:pPr>
              <w:bidi w:val="0"/>
              <w:jc w:val="center"/>
            </w:pPr>
            <w:r>
              <w:t>一般风险</w:t>
            </w:r>
          </w:p>
        </w:tc>
        <w:tc>
          <w:tcPr>
            <w:tcW w:w="412" w:type="pct"/>
            <w:vAlign w:val="center"/>
          </w:tcPr>
          <w:p w14:paraId="2179B070">
            <w:pPr>
              <w:bidi w:val="0"/>
              <w:jc w:val="center"/>
            </w:pPr>
            <w:r>
              <w:t>黄色</w:t>
            </w:r>
          </w:p>
        </w:tc>
      </w:tr>
      <w:tr w14:paraId="64D50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bottom w:val="nil"/>
            </w:tcBorders>
            <w:vAlign w:val="center"/>
          </w:tcPr>
          <w:p w14:paraId="475D02BB">
            <w:pPr>
              <w:bidi w:val="0"/>
              <w:jc w:val="center"/>
            </w:pPr>
          </w:p>
        </w:tc>
        <w:tc>
          <w:tcPr>
            <w:tcW w:w="1646" w:type="pct"/>
            <w:gridSpan w:val="2"/>
            <w:vAlign w:val="center"/>
          </w:tcPr>
          <w:p w14:paraId="29EC92AD">
            <w:pPr>
              <w:bidi w:val="0"/>
              <w:jc w:val="center"/>
            </w:pPr>
            <w:r>
              <w:t>加油软管未设安全拉断阀或失效</w:t>
            </w:r>
          </w:p>
        </w:tc>
        <w:tc>
          <w:tcPr>
            <w:tcW w:w="340" w:type="pct"/>
            <w:vAlign w:val="center"/>
          </w:tcPr>
          <w:p w14:paraId="62235498">
            <w:pPr>
              <w:bidi w:val="0"/>
              <w:jc w:val="center"/>
            </w:pPr>
            <w:r>
              <w:t>1</w:t>
            </w:r>
          </w:p>
        </w:tc>
        <w:tc>
          <w:tcPr>
            <w:tcW w:w="340" w:type="pct"/>
            <w:vAlign w:val="center"/>
          </w:tcPr>
          <w:p w14:paraId="733E0503">
            <w:pPr>
              <w:bidi w:val="0"/>
              <w:jc w:val="center"/>
            </w:pPr>
            <w:r>
              <w:t>6</w:t>
            </w:r>
          </w:p>
        </w:tc>
        <w:tc>
          <w:tcPr>
            <w:tcW w:w="340" w:type="pct"/>
            <w:vAlign w:val="center"/>
          </w:tcPr>
          <w:p w14:paraId="1DF546E5">
            <w:pPr>
              <w:bidi w:val="0"/>
              <w:jc w:val="center"/>
            </w:pPr>
            <w:r>
              <w:t>7</w:t>
            </w:r>
          </w:p>
        </w:tc>
        <w:tc>
          <w:tcPr>
            <w:tcW w:w="422" w:type="pct"/>
            <w:vAlign w:val="center"/>
          </w:tcPr>
          <w:p w14:paraId="5F72D548">
            <w:pPr>
              <w:bidi w:val="0"/>
              <w:jc w:val="center"/>
            </w:pPr>
            <w:r>
              <w:t>42</w:t>
            </w:r>
          </w:p>
        </w:tc>
        <w:tc>
          <w:tcPr>
            <w:tcW w:w="415" w:type="pct"/>
            <w:vAlign w:val="center"/>
          </w:tcPr>
          <w:p w14:paraId="071D9636">
            <w:pPr>
              <w:bidi w:val="0"/>
              <w:jc w:val="center"/>
            </w:pPr>
            <w:r>
              <w:t>Ⅳ</w:t>
            </w:r>
          </w:p>
        </w:tc>
        <w:tc>
          <w:tcPr>
            <w:tcW w:w="648" w:type="pct"/>
            <w:vAlign w:val="center"/>
          </w:tcPr>
          <w:p w14:paraId="2F119414">
            <w:pPr>
              <w:bidi w:val="0"/>
              <w:jc w:val="center"/>
            </w:pPr>
            <w:r>
              <w:t>低风险</w:t>
            </w:r>
          </w:p>
        </w:tc>
        <w:tc>
          <w:tcPr>
            <w:tcW w:w="412" w:type="pct"/>
            <w:vAlign w:val="center"/>
          </w:tcPr>
          <w:p w14:paraId="5A8D432C">
            <w:pPr>
              <w:bidi w:val="0"/>
              <w:jc w:val="center"/>
            </w:pPr>
            <w:r>
              <w:t>蓝色</w:t>
            </w:r>
          </w:p>
        </w:tc>
      </w:tr>
      <w:tr w14:paraId="36A77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nil"/>
            </w:tcBorders>
            <w:vAlign w:val="center"/>
          </w:tcPr>
          <w:p w14:paraId="6C194C17">
            <w:pPr>
              <w:bidi w:val="0"/>
              <w:jc w:val="center"/>
            </w:pPr>
          </w:p>
        </w:tc>
        <w:tc>
          <w:tcPr>
            <w:tcW w:w="1646" w:type="pct"/>
            <w:gridSpan w:val="2"/>
            <w:vAlign w:val="center"/>
          </w:tcPr>
          <w:p w14:paraId="7D554028">
            <w:pPr>
              <w:bidi w:val="0"/>
              <w:jc w:val="center"/>
            </w:pPr>
            <w:r>
              <w:t>加油时吸烟或用明火或存在点火源</w:t>
            </w:r>
          </w:p>
        </w:tc>
        <w:tc>
          <w:tcPr>
            <w:tcW w:w="340" w:type="pct"/>
            <w:vAlign w:val="center"/>
          </w:tcPr>
          <w:p w14:paraId="66788A31">
            <w:pPr>
              <w:bidi w:val="0"/>
              <w:jc w:val="center"/>
            </w:pPr>
            <w:r>
              <w:t>1</w:t>
            </w:r>
          </w:p>
        </w:tc>
        <w:tc>
          <w:tcPr>
            <w:tcW w:w="340" w:type="pct"/>
            <w:vAlign w:val="center"/>
          </w:tcPr>
          <w:p w14:paraId="158D0085">
            <w:pPr>
              <w:bidi w:val="0"/>
              <w:jc w:val="center"/>
            </w:pPr>
            <w:r>
              <w:t>6</w:t>
            </w:r>
          </w:p>
        </w:tc>
        <w:tc>
          <w:tcPr>
            <w:tcW w:w="340" w:type="pct"/>
            <w:vAlign w:val="center"/>
          </w:tcPr>
          <w:p w14:paraId="40DA5B61">
            <w:pPr>
              <w:bidi w:val="0"/>
              <w:jc w:val="center"/>
            </w:pPr>
            <w:r>
              <w:t>15</w:t>
            </w:r>
          </w:p>
        </w:tc>
        <w:tc>
          <w:tcPr>
            <w:tcW w:w="422" w:type="pct"/>
            <w:vAlign w:val="center"/>
          </w:tcPr>
          <w:p w14:paraId="548749AA">
            <w:pPr>
              <w:bidi w:val="0"/>
              <w:jc w:val="center"/>
            </w:pPr>
            <w:r>
              <w:t>90</w:t>
            </w:r>
          </w:p>
        </w:tc>
        <w:tc>
          <w:tcPr>
            <w:tcW w:w="415" w:type="pct"/>
            <w:vAlign w:val="center"/>
          </w:tcPr>
          <w:p w14:paraId="4D4DA225">
            <w:pPr>
              <w:bidi w:val="0"/>
              <w:jc w:val="center"/>
            </w:pPr>
            <w:r>
              <w:t>Ⅲ</w:t>
            </w:r>
          </w:p>
        </w:tc>
        <w:tc>
          <w:tcPr>
            <w:tcW w:w="648" w:type="pct"/>
            <w:vAlign w:val="center"/>
          </w:tcPr>
          <w:p w14:paraId="3FC1E3D8">
            <w:pPr>
              <w:bidi w:val="0"/>
              <w:jc w:val="center"/>
            </w:pPr>
            <w:r>
              <w:t>一般风险</w:t>
            </w:r>
          </w:p>
        </w:tc>
        <w:tc>
          <w:tcPr>
            <w:tcW w:w="412" w:type="pct"/>
            <w:vAlign w:val="center"/>
          </w:tcPr>
          <w:p w14:paraId="0636FF72">
            <w:pPr>
              <w:bidi w:val="0"/>
              <w:jc w:val="center"/>
            </w:pPr>
            <w:r>
              <w:t>黄色</w:t>
            </w:r>
          </w:p>
        </w:tc>
      </w:tr>
      <w:tr w14:paraId="0092C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bottom w:val="single" w:color="000000" w:sz="2" w:space="0"/>
            </w:tcBorders>
            <w:vAlign w:val="center"/>
          </w:tcPr>
          <w:p w14:paraId="6A0DA761">
            <w:pPr>
              <w:bidi w:val="0"/>
              <w:jc w:val="center"/>
            </w:pPr>
            <w:r>
              <w:t>卸油</w:t>
            </w:r>
          </w:p>
        </w:tc>
        <w:tc>
          <w:tcPr>
            <w:tcW w:w="1646" w:type="pct"/>
            <w:gridSpan w:val="2"/>
            <w:tcBorders>
              <w:bottom w:val="single" w:color="000000" w:sz="2" w:space="0"/>
            </w:tcBorders>
            <w:vAlign w:val="center"/>
          </w:tcPr>
          <w:p w14:paraId="2D55C28B">
            <w:pPr>
              <w:bidi w:val="0"/>
              <w:jc w:val="center"/>
            </w:pPr>
            <w:r>
              <w:t>卸油时油罐操作未静置5分钟以上</w:t>
            </w:r>
          </w:p>
        </w:tc>
        <w:tc>
          <w:tcPr>
            <w:tcW w:w="340" w:type="pct"/>
            <w:tcBorders>
              <w:bottom w:val="single" w:color="000000" w:sz="2" w:space="0"/>
            </w:tcBorders>
            <w:vAlign w:val="center"/>
          </w:tcPr>
          <w:p w14:paraId="675EAD1A">
            <w:pPr>
              <w:bidi w:val="0"/>
              <w:jc w:val="center"/>
            </w:pPr>
            <w:r>
              <w:t>1</w:t>
            </w:r>
          </w:p>
        </w:tc>
        <w:tc>
          <w:tcPr>
            <w:tcW w:w="340" w:type="pct"/>
            <w:tcBorders>
              <w:bottom w:val="single" w:color="000000" w:sz="2" w:space="0"/>
            </w:tcBorders>
            <w:vAlign w:val="center"/>
          </w:tcPr>
          <w:p w14:paraId="66C3EF84">
            <w:pPr>
              <w:bidi w:val="0"/>
              <w:jc w:val="center"/>
            </w:pPr>
            <w:r>
              <w:t>3</w:t>
            </w:r>
          </w:p>
        </w:tc>
        <w:tc>
          <w:tcPr>
            <w:tcW w:w="340" w:type="pct"/>
            <w:tcBorders>
              <w:bottom w:val="single" w:color="000000" w:sz="2" w:space="0"/>
            </w:tcBorders>
            <w:vAlign w:val="center"/>
          </w:tcPr>
          <w:p w14:paraId="66A34705">
            <w:pPr>
              <w:bidi w:val="0"/>
              <w:jc w:val="center"/>
            </w:pPr>
            <w:r>
              <w:t>40</w:t>
            </w:r>
          </w:p>
        </w:tc>
        <w:tc>
          <w:tcPr>
            <w:tcW w:w="422" w:type="pct"/>
            <w:tcBorders>
              <w:bottom w:val="single" w:color="000000" w:sz="2" w:space="0"/>
            </w:tcBorders>
            <w:vAlign w:val="center"/>
          </w:tcPr>
          <w:p w14:paraId="417B325E">
            <w:pPr>
              <w:bidi w:val="0"/>
              <w:jc w:val="center"/>
            </w:pPr>
            <w:r>
              <w:t>120</w:t>
            </w:r>
          </w:p>
        </w:tc>
        <w:tc>
          <w:tcPr>
            <w:tcW w:w="415" w:type="pct"/>
            <w:tcBorders>
              <w:bottom w:val="single" w:color="000000" w:sz="2" w:space="0"/>
            </w:tcBorders>
            <w:vAlign w:val="center"/>
          </w:tcPr>
          <w:p w14:paraId="43741DA5">
            <w:pPr>
              <w:bidi w:val="0"/>
              <w:jc w:val="center"/>
            </w:pPr>
            <w:r>
              <w:t>Ⅲ</w:t>
            </w:r>
          </w:p>
        </w:tc>
        <w:tc>
          <w:tcPr>
            <w:tcW w:w="648" w:type="pct"/>
            <w:tcBorders>
              <w:bottom w:val="single" w:color="000000" w:sz="2" w:space="0"/>
            </w:tcBorders>
            <w:vAlign w:val="center"/>
          </w:tcPr>
          <w:p w14:paraId="4BF88946">
            <w:pPr>
              <w:bidi w:val="0"/>
              <w:jc w:val="center"/>
            </w:pPr>
            <w:r>
              <w:t>一般风险</w:t>
            </w:r>
          </w:p>
        </w:tc>
        <w:tc>
          <w:tcPr>
            <w:tcW w:w="412" w:type="pct"/>
            <w:tcBorders>
              <w:bottom w:val="single" w:color="000000" w:sz="2" w:space="0"/>
            </w:tcBorders>
            <w:vAlign w:val="center"/>
          </w:tcPr>
          <w:p w14:paraId="2727DA3B">
            <w:pPr>
              <w:bidi w:val="0"/>
              <w:jc w:val="center"/>
            </w:pPr>
            <w:r>
              <w:t>黄色</w:t>
            </w:r>
          </w:p>
        </w:tc>
      </w:tr>
      <w:tr w14:paraId="7E096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352278C8">
            <w:pPr>
              <w:bidi w:val="0"/>
              <w:jc w:val="center"/>
            </w:pPr>
          </w:p>
        </w:tc>
        <w:tc>
          <w:tcPr>
            <w:tcW w:w="1646" w:type="pct"/>
            <w:gridSpan w:val="2"/>
            <w:tcBorders>
              <w:top w:val="single" w:color="000000" w:sz="2" w:space="0"/>
              <w:bottom w:val="single" w:color="000000" w:sz="2" w:space="0"/>
            </w:tcBorders>
            <w:vAlign w:val="center"/>
          </w:tcPr>
          <w:p w14:paraId="5783F040">
            <w:pPr>
              <w:bidi w:val="0"/>
              <w:jc w:val="center"/>
            </w:pPr>
            <w:r>
              <w:t>卸油时油罐槽车未连接静电接地夹</w:t>
            </w:r>
          </w:p>
        </w:tc>
        <w:tc>
          <w:tcPr>
            <w:tcW w:w="340" w:type="pct"/>
            <w:tcBorders>
              <w:top w:val="single" w:color="000000" w:sz="2" w:space="0"/>
              <w:bottom w:val="single" w:color="000000" w:sz="2" w:space="0"/>
            </w:tcBorders>
            <w:vAlign w:val="center"/>
          </w:tcPr>
          <w:p w14:paraId="73F634E5">
            <w:pPr>
              <w:bidi w:val="0"/>
              <w:jc w:val="center"/>
            </w:pPr>
            <w:r>
              <w:t>1</w:t>
            </w:r>
          </w:p>
        </w:tc>
        <w:tc>
          <w:tcPr>
            <w:tcW w:w="340" w:type="pct"/>
            <w:tcBorders>
              <w:top w:val="single" w:color="000000" w:sz="2" w:space="0"/>
              <w:bottom w:val="single" w:color="000000" w:sz="2" w:space="0"/>
            </w:tcBorders>
            <w:vAlign w:val="center"/>
          </w:tcPr>
          <w:p w14:paraId="13A10DDD">
            <w:pPr>
              <w:bidi w:val="0"/>
              <w:jc w:val="center"/>
            </w:pPr>
            <w:r>
              <w:t>3</w:t>
            </w:r>
          </w:p>
        </w:tc>
        <w:tc>
          <w:tcPr>
            <w:tcW w:w="340" w:type="pct"/>
            <w:tcBorders>
              <w:top w:val="single" w:color="000000" w:sz="2" w:space="0"/>
              <w:bottom w:val="single" w:color="000000" w:sz="2" w:space="0"/>
            </w:tcBorders>
            <w:vAlign w:val="center"/>
          </w:tcPr>
          <w:p w14:paraId="1634F4A1">
            <w:pPr>
              <w:bidi w:val="0"/>
              <w:jc w:val="center"/>
            </w:pPr>
            <w:r>
              <w:t>40</w:t>
            </w:r>
          </w:p>
        </w:tc>
        <w:tc>
          <w:tcPr>
            <w:tcW w:w="422" w:type="pct"/>
            <w:tcBorders>
              <w:top w:val="single" w:color="000000" w:sz="2" w:space="0"/>
              <w:bottom w:val="single" w:color="000000" w:sz="2" w:space="0"/>
            </w:tcBorders>
            <w:vAlign w:val="center"/>
          </w:tcPr>
          <w:p w14:paraId="41E86F26">
            <w:pPr>
              <w:bidi w:val="0"/>
              <w:jc w:val="center"/>
            </w:pPr>
            <w:r>
              <w:t>120</w:t>
            </w:r>
          </w:p>
        </w:tc>
        <w:tc>
          <w:tcPr>
            <w:tcW w:w="415" w:type="pct"/>
            <w:tcBorders>
              <w:top w:val="single" w:color="000000" w:sz="2" w:space="0"/>
              <w:bottom w:val="single" w:color="000000" w:sz="2" w:space="0"/>
            </w:tcBorders>
            <w:vAlign w:val="center"/>
          </w:tcPr>
          <w:p w14:paraId="6FD08EB9">
            <w:pPr>
              <w:bidi w:val="0"/>
              <w:jc w:val="center"/>
            </w:pPr>
            <w:r>
              <w:t>Ⅲ</w:t>
            </w:r>
          </w:p>
        </w:tc>
        <w:tc>
          <w:tcPr>
            <w:tcW w:w="648" w:type="pct"/>
            <w:tcBorders>
              <w:top w:val="single" w:color="000000" w:sz="2" w:space="0"/>
              <w:bottom w:val="single" w:color="000000" w:sz="2" w:space="0"/>
            </w:tcBorders>
            <w:vAlign w:val="center"/>
          </w:tcPr>
          <w:p w14:paraId="37D225D1">
            <w:pPr>
              <w:bidi w:val="0"/>
              <w:jc w:val="center"/>
            </w:pPr>
            <w:r>
              <w:t>一般风险</w:t>
            </w:r>
          </w:p>
        </w:tc>
        <w:tc>
          <w:tcPr>
            <w:tcW w:w="412" w:type="pct"/>
            <w:tcBorders>
              <w:top w:val="single" w:color="000000" w:sz="2" w:space="0"/>
              <w:bottom w:val="single" w:color="000000" w:sz="2" w:space="0"/>
            </w:tcBorders>
            <w:vAlign w:val="center"/>
          </w:tcPr>
          <w:p w14:paraId="5783AD52">
            <w:pPr>
              <w:bidi w:val="0"/>
              <w:jc w:val="center"/>
            </w:pPr>
            <w:r>
              <w:t>黄色</w:t>
            </w:r>
          </w:p>
        </w:tc>
      </w:tr>
      <w:tr w14:paraId="26267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0E5EB81B">
            <w:pPr>
              <w:bidi w:val="0"/>
              <w:jc w:val="center"/>
            </w:pPr>
          </w:p>
        </w:tc>
        <w:tc>
          <w:tcPr>
            <w:tcW w:w="1646" w:type="pct"/>
            <w:gridSpan w:val="2"/>
            <w:tcBorders>
              <w:top w:val="single" w:color="000000" w:sz="2" w:space="0"/>
              <w:bottom w:val="single" w:color="000000" w:sz="2" w:space="0"/>
            </w:tcBorders>
            <w:vAlign w:val="center"/>
          </w:tcPr>
          <w:p w14:paraId="04AF56CB">
            <w:pPr>
              <w:bidi w:val="0"/>
              <w:jc w:val="center"/>
            </w:pPr>
            <w:r>
              <w:t>擅自改变卸油工艺，采用增加流速、流量等方式加快卸油</w:t>
            </w:r>
          </w:p>
        </w:tc>
        <w:tc>
          <w:tcPr>
            <w:tcW w:w="340" w:type="pct"/>
            <w:tcBorders>
              <w:top w:val="single" w:color="000000" w:sz="2" w:space="0"/>
              <w:bottom w:val="single" w:color="000000" w:sz="2" w:space="0"/>
            </w:tcBorders>
            <w:vAlign w:val="center"/>
          </w:tcPr>
          <w:p w14:paraId="1CE577F3">
            <w:pPr>
              <w:bidi w:val="0"/>
              <w:jc w:val="center"/>
            </w:pPr>
            <w:r>
              <w:t>1</w:t>
            </w:r>
          </w:p>
        </w:tc>
        <w:tc>
          <w:tcPr>
            <w:tcW w:w="340" w:type="pct"/>
            <w:tcBorders>
              <w:top w:val="single" w:color="000000" w:sz="2" w:space="0"/>
              <w:bottom w:val="single" w:color="000000" w:sz="2" w:space="0"/>
            </w:tcBorders>
            <w:vAlign w:val="center"/>
          </w:tcPr>
          <w:p w14:paraId="2990BFC3">
            <w:pPr>
              <w:bidi w:val="0"/>
              <w:jc w:val="center"/>
            </w:pPr>
            <w:r>
              <w:t>3</w:t>
            </w:r>
          </w:p>
        </w:tc>
        <w:tc>
          <w:tcPr>
            <w:tcW w:w="340" w:type="pct"/>
            <w:tcBorders>
              <w:top w:val="single" w:color="000000" w:sz="2" w:space="0"/>
              <w:bottom w:val="single" w:color="000000" w:sz="2" w:space="0"/>
            </w:tcBorders>
            <w:vAlign w:val="center"/>
          </w:tcPr>
          <w:p w14:paraId="360BEA7C">
            <w:pPr>
              <w:bidi w:val="0"/>
              <w:jc w:val="center"/>
            </w:pPr>
            <w:r>
              <w:t>40</w:t>
            </w:r>
          </w:p>
        </w:tc>
        <w:tc>
          <w:tcPr>
            <w:tcW w:w="422" w:type="pct"/>
            <w:tcBorders>
              <w:top w:val="single" w:color="000000" w:sz="2" w:space="0"/>
              <w:bottom w:val="single" w:color="000000" w:sz="2" w:space="0"/>
            </w:tcBorders>
            <w:vAlign w:val="center"/>
          </w:tcPr>
          <w:p w14:paraId="6F5072C4">
            <w:pPr>
              <w:bidi w:val="0"/>
              <w:jc w:val="center"/>
            </w:pPr>
            <w:r>
              <w:t>120</w:t>
            </w:r>
          </w:p>
        </w:tc>
        <w:tc>
          <w:tcPr>
            <w:tcW w:w="415" w:type="pct"/>
            <w:tcBorders>
              <w:top w:val="single" w:color="000000" w:sz="2" w:space="0"/>
              <w:bottom w:val="single" w:color="000000" w:sz="2" w:space="0"/>
            </w:tcBorders>
            <w:vAlign w:val="center"/>
          </w:tcPr>
          <w:p w14:paraId="10F690EF">
            <w:pPr>
              <w:bidi w:val="0"/>
              <w:jc w:val="center"/>
            </w:pPr>
            <w:r>
              <w:t>Ⅲ</w:t>
            </w:r>
          </w:p>
        </w:tc>
        <w:tc>
          <w:tcPr>
            <w:tcW w:w="648" w:type="pct"/>
            <w:tcBorders>
              <w:top w:val="single" w:color="000000" w:sz="2" w:space="0"/>
              <w:bottom w:val="single" w:color="000000" w:sz="2" w:space="0"/>
            </w:tcBorders>
            <w:vAlign w:val="center"/>
          </w:tcPr>
          <w:p w14:paraId="7357D3CB">
            <w:pPr>
              <w:bidi w:val="0"/>
              <w:jc w:val="center"/>
            </w:pPr>
            <w:r>
              <w:t>一般风险</w:t>
            </w:r>
          </w:p>
        </w:tc>
        <w:tc>
          <w:tcPr>
            <w:tcW w:w="412" w:type="pct"/>
            <w:tcBorders>
              <w:top w:val="single" w:color="000000" w:sz="2" w:space="0"/>
              <w:bottom w:val="single" w:color="000000" w:sz="2" w:space="0"/>
            </w:tcBorders>
            <w:vAlign w:val="center"/>
          </w:tcPr>
          <w:p w14:paraId="5A24AE9D">
            <w:pPr>
              <w:bidi w:val="0"/>
              <w:jc w:val="center"/>
            </w:pPr>
            <w:r>
              <w:t>黄色</w:t>
            </w:r>
          </w:p>
        </w:tc>
      </w:tr>
      <w:tr w14:paraId="1E3CB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50D18F1D">
            <w:pPr>
              <w:bidi w:val="0"/>
              <w:jc w:val="center"/>
            </w:pPr>
          </w:p>
        </w:tc>
        <w:tc>
          <w:tcPr>
            <w:tcW w:w="1646" w:type="pct"/>
            <w:gridSpan w:val="2"/>
            <w:tcBorders>
              <w:top w:val="single" w:color="000000" w:sz="2" w:space="0"/>
              <w:bottom w:val="single" w:color="000000" w:sz="2" w:space="0"/>
            </w:tcBorders>
            <w:vAlign w:val="center"/>
          </w:tcPr>
          <w:p w14:paraId="0889E21E">
            <w:pPr>
              <w:bidi w:val="0"/>
              <w:jc w:val="center"/>
            </w:pPr>
            <w:r>
              <w:t>卸油时吸烟或用明火或存在点火源</w:t>
            </w:r>
          </w:p>
        </w:tc>
        <w:tc>
          <w:tcPr>
            <w:tcW w:w="340" w:type="pct"/>
            <w:tcBorders>
              <w:top w:val="single" w:color="000000" w:sz="2" w:space="0"/>
              <w:bottom w:val="single" w:color="000000" w:sz="2" w:space="0"/>
            </w:tcBorders>
            <w:vAlign w:val="center"/>
          </w:tcPr>
          <w:p w14:paraId="011B8A74">
            <w:pPr>
              <w:bidi w:val="0"/>
              <w:jc w:val="center"/>
            </w:pPr>
            <w:r>
              <w:t>1</w:t>
            </w:r>
          </w:p>
        </w:tc>
        <w:tc>
          <w:tcPr>
            <w:tcW w:w="340" w:type="pct"/>
            <w:tcBorders>
              <w:top w:val="single" w:color="000000" w:sz="2" w:space="0"/>
              <w:bottom w:val="single" w:color="000000" w:sz="2" w:space="0"/>
            </w:tcBorders>
            <w:vAlign w:val="center"/>
          </w:tcPr>
          <w:p w14:paraId="0112CC00">
            <w:pPr>
              <w:bidi w:val="0"/>
              <w:jc w:val="center"/>
            </w:pPr>
            <w:r>
              <w:t>3</w:t>
            </w:r>
          </w:p>
        </w:tc>
        <w:tc>
          <w:tcPr>
            <w:tcW w:w="340" w:type="pct"/>
            <w:tcBorders>
              <w:top w:val="single" w:color="000000" w:sz="2" w:space="0"/>
              <w:bottom w:val="single" w:color="000000" w:sz="2" w:space="0"/>
            </w:tcBorders>
            <w:vAlign w:val="center"/>
          </w:tcPr>
          <w:p w14:paraId="35CD5533">
            <w:pPr>
              <w:bidi w:val="0"/>
              <w:jc w:val="center"/>
            </w:pPr>
            <w:r>
              <w:t>40</w:t>
            </w:r>
          </w:p>
        </w:tc>
        <w:tc>
          <w:tcPr>
            <w:tcW w:w="422" w:type="pct"/>
            <w:tcBorders>
              <w:top w:val="single" w:color="000000" w:sz="2" w:space="0"/>
              <w:bottom w:val="single" w:color="000000" w:sz="2" w:space="0"/>
            </w:tcBorders>
            <w:vAlign w:val="center"/>
          </w:tcPr>
          <w:p w14:paraId="6531F217">
            <w:pPr>
              <w:bidi w:val="0"/>
              <w:jc w:val="center"/>
            </w:pPr>
            <w:r>
              <w:t>120</w:t>
            </w:r>
          </w:p>
        </w:tc>
        <w:tc>
          <w:tcPr>
            <w:tcW w:w="414" w:type="pct"/>
            <w:tcBorders>
              <w:top w:val="single" w:color="000000" w:sz="2" w:space="0"/>
              <w:bottom w:val="single" w:color="000000" w:sz="2" w:space="0"/>
            </w:tcBorders>
            <w:vAlign w:val="center"/>
          </w:tcPr>
          <w:p w14:paraId="10C6A75E">
            <w:pPr>
              <w:bidi w:val="0"/>
              <w:jc w:val="center"/>
            </w:pPr>
            <w:r>
              <w:t>Ⅲ</w:t>
            </w:r>
          </w:p>
        </w:tc>
        <w:tc>
          <w:tcPr>
            <w:tcW w:w="648" w:type="pct"/>
            <w:tcBorders>
              <w:top w:val="single" w:color="000000" w:sz="2" w:space="0"/>
              <w:bottom w:val="single" w:color="000000" w:sz="2" w:space="0"/>
            </w:tcBorders>
            <w:vAlign w:val="center"/>
          </w:tcPr>
          <w:p w14:paraId="754FA59A">
            <w:pPr>
              <w:bidi w:val="0"/>
              <w:jc w:val="center"/>
            </w:pPr>
            <w:r>
              <w:t>一般风险</w:t>
            </w:r>
          </w:p>
        </w:tc>
        <w:tc>
          <w:tcPr>
            <w:tcW w:w="412" w:type="pct"/>
            <w:tcBorders>
              <w:top w:val="single" w:color="000000" w:sz="2" w:space="0"/>
              <w:bottom w:val="single" w:color="000000" w:sz="2" w:space="0"/>
            </w:tcBorders>
            <w:vAlign w:val="center"/>
          </w:tcPr>
          <w:p w14:paraId="4ED2C4B5">
            <w:pPr>
              <w:bidi w:val="0"/>
              <w:jc w:val="center"/>
            </w:pPr>
            <w:r>
              <w:t>黄色</w:t>
            </w:r>
          </w:p>
        </w:tc>
      </w:tr>
      <w:tr w14:paraId="7D89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7FB35DA3">
            <w:pPr>
              <w:bidi w:val="0"/>
              <w:jc w:val="center"/>
            </w:pPr>
          </w:p>
        </w:tc>
        <w:tc>
          <w:tcPr>
            <w:tcW w:w="1646" w:type="pct"/>
            <w:gridSpan w:val="2"/>
            <w:tcBorders>
              <w:top w:val="single" w:color="000000" w:sz="2" w:space="0"/>
              <w:bottom w:val="single" w:color="000000" w:sz="2" w:space="0"/>
            </w:tcBorders>
            <w:vAlign w:val="center"/>
          </w:tcPr>
          <w:p w14:paraId="6FFFE539">
            <w:pPr>
              <w:bidi w:val="0"/>
              <w:jc w:val="center"/>
            </w:pPr>
            <w:r>
              <w:t>在雷雨或雷暴天气条件下卸油</w:t>
            </w:r>
          </w:p>
        </w:tc>
        <w:tc>
          <w:tcPr>
            <w:tcW w:w="340" w:type="pct"/>
            <w:tcBorders>
              <w:top w:val="single" w:color="000000" w:sz="2" w:space="0"/>
              <w:bottom w:val="single" w:color="000000" w:sz="2" w:space="0"/>
            </w:tcBorders>
            <w:vAlign w:val="center"/>
          </w:tcPr>
          <w:p w14:paraId="70F41ACE">
            <w:pPr>
              <w:bidi w:val="0"/>
              <w:jc w:val="center"/>
            </w:pPr>
            <w:r>
              <w:t>1</w:t>
            </w:r>
          </w:p>
        </w:tc>
        <w:tc>
          <w:tcPr>
            <w:tcW w:w="340" w:type="pct"/>
            <w:tcBorders>
              <w:top w:val="single" w:color="000000" w:sz="2" w:space="0"/>
              <w:bottom w:val="single" w:color="000000" w:sz="2" w:space="0"/>
            </w:tcBorders>
            <w:vAlign w:val="center"/>
          </w:tcPr>
          <w:p w14:paraId="3AF34131">
            <w:pPr>
              <w:bidi w:val="0"/>
              <w:jc w:val="center"/>
            </w:pPr>
            <w:r>
              <w:t>3</w:t>
            </w:r>
          </w:p>
        </w:tc>
        <w:tc>
          <w:tcPr>
            <w:tcW w:w="340" w:type="pct"/>
            <w:tcBorders>
              <w:top w:val="single" w:color="000000" w:sz="2" w:space="0"/>
              <w:bottom w:val="single" w:color="000000" w:sz="2" w:space="0"/>
            </w:tcBorders>
            <w:vAlign w:val="center"/>
          </w:tcPr>
          <w:p w14:paraId="3B0C81A0">
            <w:pPr>
              <w:bidi w:val="0"/>
              <w:jc w:val="center"/>
            </w:pPr>
            <w:r>
              <w:t>40</w:t>
            </w:r>
          </w:p>
        </w:tc>
        <w:tc>
          <w:tcPr>
            <w:tcW w:w="422" w:type="pct"/>
            <w:tcBorders>
              <w:top w:val="single" w:color="000000" w:sz="2" w:space="0"/>
              <w:bottom w:val="single" w:color="000000" w:sz="2" w:space="0"/>
            </w:tcBorders>
            <w:vAlign w:val="center"/>
          </w:tcPr>
          <w:p w14:paraId="40A4A5CD">
            <w:pPr>
              <w:bidi w:val="0"/>
              <w:jc w:val="center"/>
            </w:pPr>
            <w:r>
              <w:t>120</w:t>
            </w:r>
          </w:p>
        </w:tc>
        <w:tc>
          <w:tcPr>
            <w:tcW w:w="414" w:type="pct"/>
            <w:tcBorders>
              <w:top w:val="single" w:color="000000" w:sz="2" w:space="0"/>
              <w:bottom w:val="single" w:color="000000" w:sz="2" w:space="0"/>
            </w:tcBorders>
            <w:vAlign w:val="center"/>
          </w:tcPr>
          <w:p w14:paraId="63BB4F98">
            <w:pPr>
              <w:bidi w:val="0"/>
              <w:jc w:val="center"/>
            </w:pPr>
            <w:r>
              <w:t>Ⅲ</w:t>
            </w:r>
          </w:p>
        </w:tc>
        <w:tc>
          <w:tcPr>
            <w:tcW w:w="648" w:type="pct"/>
            <w:tcBorders>
              <w:top w:val="single" w:color="000000" w:sz="2" w:space="0"/>
              <w:bottom w:val="single" w:color="000000" w:sz="2" w:space="0"/>
            </w:tcBorders>
            <w:vAlign w:val="center"/>
          </w:tcPr>
          <w:p w14:paraId="401BF05A">
            <w:pPr>
              <w:bidi w:val="0"/>
              <w:jc w:val="center"/>
            </w:pPr>
            <w:r>
              <w:t>一般风险</w:t>
            </w:r>
          </w:p>
        </w:tc>
        <w:tc>
          <w:tcPr>
            <w:tcW w:w="412" w:type="pct"/>
            <w:tcBorders>
              <w:top w:val="single" w:color="000000" w:sz="2" w:space="0"/>
              <w:bottom w:val="single" w:color="000000" w:sz="2" w:space="0"/>
            </w:tcBorders>
            <w:vAlign w:val="center"/>
          </w:tcPr>
          <w:p w14:paraId="53D00DFD">
            <w:pPr>
              <w:bidi w:val="0"/>
              <w:jc w:val="center"/>
            </w:pPr>
            <w:r>
              <w:t>黄色</w:t>
            </w:r>
          </w:p>
        </w:tc>
      </w:tr>
      <w:tr w14:paraId="62A74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08E781EE">
            <w:pPr>
              <w:bidi w:val="0"/>
              <w:jc w:val="center"/>
            </w:pPr>
          </w:p>
        </w:tc>
        <w:tc>
          <w:tcPr>
            <w:tcW w:w="1646" w:type="pct"/>
            <w:gridSpan w:val="2"/>
            <w:tcBorders>
              <w:top w:val="single" w:color="000000" w:sz="2" w:space="0"/>
              <w:bottom w:val="single" w:color="000000" w:sz="2" w:space="0"/>
            </w:tcBorders>
            <w:vAlign w:val="center"/>
          </w:tcPr>
          <w:p w14:paraId="7BC8EC79">
            <w:pPr>
              <w:bidi w:val="0"/>
              <w:jc w:val="center"/>
            </w:pPr>
            <w:r>
              <w:t>卸油时未穿戴防静电工作服</w:t>
            </w:r>
          </w:p>
        </w:tc>
        <w:tc>
          <w:tcPr>
            <w:tcW w:w="340" w:type="pct"/>
            <w:tcBorders>
              <w:top w:val="single" w:color="000000" w:sz="2" w:space="0"/>
              <w:bottom w:val="single" w:color="000000" w:sz="2" w:space="0"/>
            </w:tcBorders>
            <w:vAlign w:val="center"/>
          </w:tcPr>
          <w:p w14:paraId="0719E9A9">
            <w:pPr>
              <w:bidi w:val="0"/>
              <w:jc w:val="center"/>
            </w:pPr>
            <w:r>
              <w:t>1</w:t>
            </w:r>
          </w:p>
        </w:tc>
        <w:tc>
          <w:tcPr>
            <w:tcW w:w="340" w:type="pct"/>
            <w:tcBorders>
              <w:top w:val="single" w:color="000000" w:sz="2" w:space="0"/>
              <w:bottom w:val="single" w:color="000000" w:sz="2" w:space="0"/>
            </w:tcBorders>
            <w:vAlign w:val="center"/>
          </w:tcPr>
          <w:p w14:paraId="10A370DF">
            <w:pPr>
              <w:bidi w:val="0"/>
              <w:jc w:val="center"/>
            </w:pPr>
            <w:r>
              <w:t>3</w:t>
            </w:r>
          </w:p>
        </w:tc>
        <w:tc>
          <w:tcPr>
            <w:tcW w:w="340" w:type="pct"/>
            <w:tcBorders>
              <w:top w:val="single" w:color="000000" w:sz="2" w:space="0"/>
              <w:bottom w:val="single" w:color="000000" w:sz="2" w:space="0"/>
            </w:tcBorders>
            <w:vAlign w:val="center"/>
          </w:tcPr>
          <w:p w14:paraId="1F29C548">
            <w:pPr>
              <w:bidi w:val="0"/>
              <w:jc w:val="center"/>
            </w:pPr>
            <w:r>
              <w:t>40</w:t>
            </w:r>
          </w:p>
        </w:tc>
        <w:tc>
          <w:tcPr>
            <w:tcW w:w="422" w:type="pct"/>
            <w:tcBorders>
              <w:top w:val="single" w:color="000000" w:sz="2" w:space="0"/>
              <w:bottom w:val="single" w:color="000000" w:sz="2" w:space="0"/>
            </w:tcBorders>
            <w:vAlign w:val="center"/>
          </w:tcPr>
          <w:p w14:paraId="011CA0C1">
            <w:pPr>
              <w:bidi w:val="0"/>
              <w:jc w:val="center"/>
            </w:pPr>
            <w:r>
              <w:t>120</w:t>
            </w:r>
          </w:p>
        </w:tc>
        <w:tc>
          <w:tcPr>
            <w:tcW w:w="414" w:type="pct"/>
            <w:tcBorders>
              <w:top w:val="single" w:color="000000" w:sz="2" w:space="0"/>
              <w:bottom w:val="single" w:color="000000" w:sz="2" w:space="0"/>
            </w:tcBorders>
            <w:vAlign w:val="center"/>
          </w:tcPr>
          <w:p w14:paraId="72D504C9">
            <w:pPr>
              <w:bidi w:val="0"/>
              <w:jc w:val="center"/>
            </w:pPr>
            <w:r>
              <w:t>Ⅲ</w:t>
            </w:r>
          </w:p>
        </w:tc>
        <w:tc>
          <w:tcPr>
            <w:tcW w:w="648" w:type="pct"/>
            <w:tcBorders>
              <w:top w:val="single" w:color="000000" w:sz="2" w:space="0"/>
              <w:bottom w:val="single" w:color="000000" w:sz="2" w:space="0"/>
            </w:tcBorders>
            <w:vAlign w:val="center"/>
          </w:tcPr>
          <w:p w14:paraId="450D73ED">
            <w:pPr>
              <w:bidi w:val="0"/>
              <w:jc w:val="center"/>
            </w:pPr>
            <w:r>
              <w:t>一般风险</w:t>
            </w:r>
          </w:p>
        </w:tc>
        <w:tc>
          <w:tcPr>
            <w:tcW w:w="412" w:type="pct"/>
            <w:tcBorders>
              <w:top w:val="single" w:color="000000" w:sz="2" w:space="0"/>
              <w:bottom w:val="single" w:color="000000" w:sz="2" w:space="0"/>
            </w:tcBorders>
            <w:vAlign w:val="center"/>
          </w:tcPr>
          <w:p w14:paraId="59895B25">
            <w:pPr>
              <w:bidi w:val="0"/>
              <w:jc w:val="center"/>
            </w:pPr>
            <w:r>
              <w:t>黄色</w:t>
            </w:r>
          </w:p>
        </w:tc>
      </w:tr>
      <w:tr w14:paraId="0E488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328E9FDF">
            <w:pPr>
              <w:bidi w:val="0"/>
              <w:jc w:val="center"/>
            </w:pPr>
          </w:p>
        </w:tc>
        <w:tc>
          <w:tcPr>
            <w:tcW w:w="1646" w:type="pct"/>
            <w:gridSpan w:val="2"/>
            <w:tcBorders>
              <w:top w:val="single" w:color="000000" w:sz="2" w:space="0"/>
              <w:bottom w:val="single" w:color="000000" w:sz="2" w:space="0"/>
            </w:tcBorders>
            <w:vAlign w:val="center"/>
          </w:tcPr>
          <w:p w14:paraId="19E6EA2E">
            <w:pPr>
              <w:bidi w:val="0"/>
              <w:jc w:val="center"/>
            </w:pPr>
            <w:r>
              <w:t>静电接地夹故障或未经常检查，确保接地正常</w:t>
            </w:r>
          </w:p>
        </w:tc>
        <w:tc>
          <w:tcPr>
            <w:tcW w:w="340" w:type="pct"/>
            <w:tcBorders>
              <w:top w:val="single" w:color="000000" w:sz="2" w:space="0"/>
              <w:bottom w:val="single" w:color="000000" w:sz="2" w:space="0"/>
            </w:tcBorders>
            <w:vAlign w:val="center"/>
          </w:tcPr>
          <w:p w14:paraId="2C1A7738">
            <w:pPr>
              <w:bidi w:val="0"/>
              <w:jc w:val="center"/>
            </w:pPr>
            <w:r>
              <w:t>1</w:t>
            </w:r>
          </w:p>
        </w:tc>
        <w:tc>
          <w:tcPr>
            <w:tcW w:w="340" w:type="pct"/>
            <w:tcBorders>
              <w:top w:val="single" w:color="000000" w:sz="2" w:space="0"/>
              <w:bottom w:val="single" w:color="000000" w:sz="2" w:space="0"/>
            </w:tcBorders>
            <w:vAlign w:val="center"/>
          </w:tcPr>
          <w:p w14:paraId="7E3A7648">
            <w:pPr>
              <w:bidi w:val="0"/>
              <w:jc w:val="center"/>
            </w:pPr>
            <w:r>
              <w:t>3</w:t>
            </w:r>
          </w:p>
        </w:tc>
        <w:tc>
          <w:tcPr>
            <w:tcW w:w="340" w:type="pct"/>
            <w:tcBorders>
              <w:top w:val="single" w:color="000000" w:sz="2" w:space="0"/>
              <w:bottom w:val="single" w:color="000000" w:sz="2" w:space="0"/>
            </w:tcBorders>
            <w:vAlign w:val="center"/>
          </w:tcPr>
          <w:p w14:paraId="2EF04C58">
            <w:pPr>
              <w:bidi w:val="0"/>
              <w:jc w:val="center"/>
            </w:pPr>
            <w:r>
              <w:t>40</w:t>
            </w:r>
          </w:p>
        </w:tc>
        <w:tc>
          <w:tcPr>
            <w:tcW w:w="422" w:type="pct"/>
            <w:tcBorders>
              <w:top w:val="single" w:color="000000" w:sz="2" w:space="0"/>
              <w:bottom w:val="single" w:color="000000" w:sz="2" w:space="0"/>
            </w:tcBorders>
            <w:vAlign w:val="center"/>
          </w:tcPr>
          <w:p w14:paraId="6A1C323B">
            <w:pPr>
              <w:bidi w:val="0"/>
              <w:jc w:val="center"/>
            </w:pPr>
            <w:r>
              <w:t>120</w:t>
            </w:r>
          </w:p>
        </w:tc>
        <w:tc>
          <w:tcPr>
            <w:tcW w:w="414" w:type="pct"/>
            <w:tcBorders>
              <w:top w:val="single" w:color="000000" w:sz="2" w:space="0"/>
              <w:bottom w:val="single" w:color="000000" w:sz="2" w:space="0"/>
            </w:tcBorders>
            <w:vAlign w:val="center"/>
          </w:tcPr>
          <w:p w14:paraId="45018F0F">
            <w:pPr>
              <w:bidi w:val="0"/>
              <w:jc w:val="center"/>
            </w:pPr>
            <w:r>
              <w:t>Ⅲ</w:t>
            </w:r>
          </w:p>
        </w:tc>
        <w:tc>
          <w:tcPr>
            <w:tcW w:w="648" w:type="pct"/>
            <w:tcBorders>
              <w:top w:val="single" w:color="000000" w:sz="2" w:space="0"/>
              <w:bottom w:val="single" w:color="000000" w:sz="2" w:space="0"/>
            </w:tcBorders>
            <w:vAlign w:val="center"/>
          </w:tcPr>
          <w:p w14:paraId="7D9AD4CC">
            <w:pPr>
              <w:bidi w:val="0"/>
              <w:jc w:val="center"/>
            </w:pPr>
            <w:r>
              <w:t>一般风险</w:t>
            </w:r>
          </w:p>
        </w:tc>
        <w:tc>
          <w:tcPr>
            <w:tcW w:w="412" w:type="pct"/>
            <w:tcBorders>
              <w:top w:val="single" w:color="000000" w:sz="2" w:space="0"/>
              <w:bottom w:val="single" w:color="000000" w:sz="2" w:space="0"/>
            </w:tcBorders>
            <w:vAlign w:val="center"/>
          </w:tcPr>
          <w:p w14:paraId="16433713">
            <w:pPr>
              <w:bidi w:val="0"/>
              <w:jc w:val="center"/>
            </w:pPr>
            <w:r>
              <w:t>黄色</w:t>
            </w:r>
          </w:p>
        </w:tc>
      </w:tr>
      <w:tr w14:paraId="42611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6E73018">
            <w:pPr>
              <w:bidi w:val="0"/>
              <w:jc w:val="center"/>
            </w:pPr>
          </w:p>
        </w:tc>
        <w:tc>
          <w:tcPr>
            <w:tcW w:w="1646" w:type="pct"/>
            <w:gridSpan w:val="2"/>
            <w:tcBorders>
              <w:top w:val="single" w:color="000000" w:sz="2" w:space="0"/>
              <w:bottom w:val="single" w:color="000000" w:sz="2" w:space="0"/>
            </w:tcBorders>
            <w:vAlign w:val="center"/>
          </w:tcPr>
          <w:p w14:paraId="5C85C2EE">
            <w:pPr>
              <w:bidi w:val="0"/>
              <w:jc w:val="center"/>
            </w:pPr>
            <w:r>
              <w:t>卸油时油管松脱，造成漏油、冒油</w:t>
            </w:r>
          </w:p>
        </w:tc>
        <w:tc>
          <w:tcPr>
            <w:tcW w:w="340" w:type="pct"/>
            <w:tcBorders>
              <w:top w:val="single" w:color="000000" w:sz="2" w:space="0"/>
              <w:bottom w:val="single" w:color="000000" w:sz="2" w:space="0"/>
            </w:tcBorders>
            <w:vAlign w:val="center"/>
          </w:tcPr>
          <w:p w14:paraId="23AA2653">
            <w:pPr>
              <w:bidi w:val="0"/>
              <w:jc w:val="center"/>
            </w:pPr>
            <w:r>
              <w:t>1</w:t>
            </w:r>
          </w:p>
        </w:tc>
        <w:tc>
          <w:tcPr>
            <w:tcW w:w="340" w:type="pct"/>
            <w:tcBorders>
              <w:top w:val="single" w:color="000000" w:sz="2" w:space="0"/>
              <w:bottom w:val="single" w:color="000000" w:sz="2" w:space="0"/>
            </w:tcBorders>
            <w:vAlign w:val="center"/>
          </w:tcPr>
          <w:p w14:paraId="4F7812CE">
            <w:pPr>
              <w:bidi w:val="0"/>
              <w:jc w:val="center"/>
            </w:pPr>
            <w:r>
              <w:t>3</w:t>
            </w:r>
          </w:p>
        </w:tc>
        <w:tc>
          <w:tcPr>
            <w:tcW w:w="340" w:type="pct"/>
            <w:tcBorders>
              <w:top w:val="single" w:color="000000" w:sz="2" w:space="0"/>
              <w:bottom w:val="single" w:color="000000" w:sz="2" w:space="0"/>
            </w:tcBorders>
            <w:vAlign w:val="center"/>
          </w:tcPr>
          <w:p w14:paraId="2DA90FA3">
            <w:pPr>
              <w:bidi w:val="0"/>
              <w:jc w:val="center"/>
            </w:pPr>
            <w:r>
              <w:t>40</w:t>
            </w:r>
          </w:p>
        </w:tc>
        <w:tc>
          <w:tcPr>
            <w:tcW w:w="422" w:type="pct"/>
            <w:tcBorders>
              <w:top w:val="single" w:color="000000" w:sz="2" w:space="0"/>
              <w:bottom w:val="single" w:color="000000" w:sz="2" w:space="0"/>
            </w:tcBorders>
            <w:vAlign w:val="center"/>
          </w:tcPr>
          <w:p w14:paraId="4780CBC1">
            <w:pPr>
              <w:bidi w:val="0"/>
              <w:jc w:val="center"/>
            </w:pPr>
            <w:r>
              <w:t>120</w:t>
            </w:r>
          </w:p>
        </w:tc>
        <w:tc>
          <w:tcPr>
            <w:tcW w:w="414" w:type="pct"/>
            <w:tcBorders>
              <w:top w:val="single" w:color="000000" w:sz="2" w:space="0"/>
              <w:bottom w:val="single" w:color="000000" w:sz="2" w:space="0"/>
            </w:tcBorders>
            <w:vAlign w:val="center"/>
          </w:tcPr>
          <w:p w14:paraId="0494D8B9">
            <w:pPr>
              <w:bidi w:val="0"/>
              <w:jc w:val="center"/>
            </w:pPr>
            <w:r>
              <w:t>Ⅲ</w:t>
            </w:r>
          </w:p>
        </w:tc>
        <w:tc>
          <w:tcPr>
            <w:tcW w:w="648" w:type="pct"/>
            <w:tcBorders>
              <w:top w:val="single" w:color="000000" w:sz="2" w:space="0"/>
              <w:bottom w:val="single" w:color="000000" w:sz="2" w:space="0"/>
            </w:tcBorders>
            <w:vAlign w:val="center"/>
          </w:tcPr>
          <w:p w14:paraId="7E384CE5">
            <w:pPr>
              <w:bidi w:val="0"/>
              <w:jc w:val="center"/>
            </w:pPr>
            <w:r>
              <w:t>一般风险</w:t>
            </w:r>
          </w:p>
        </w:tc>
        <w:tc>
          <w:tcPr>
            <w:tcW w:w="412" w:type="pct"/>
            <w:tcBorders>
              <w:top w:val="single" w:color="000000" w:sz="2" w:space="0"/>
              <w:bottom w:val="single" w:color="000000" w:sz="2" w:space="0"/>
            </w:tcBorders>
            <w:vAlign w:val="center"/>
          </w:tcPr>
          <w:p w14:paraId="2002047D">
            <w:pPr>
              <w:bidi w:val="0"/>
              <w:jc w:val="center"/>
            </w:pPr>
            <w:r>
              <w:t>黄色</w:t>
            </w:r>
          </w:p>
        </w:tc>
      </w:tr>
      <w:tr w14:paraId="65E38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2D79EFC0">
            <w:pPr>
              <w:bidi w:val="0"/>
              <w:jc w:val="center"/>
            </w:pPr>
          </w:p>
        </w:tc>
        <w:tc>
          <w:tcPr>
            <w:tcW w:w="1646" w:type="pct"/>
            <w:gridSpan w:val="2"/>
            <w:tcBorders>
              <w:top w:val="single" w:color="000000" w:sz="2" w:space="0"/>
              <w:bottom w:val="single" w:color="000000" w:sz="2" w:space="0"/>
            </w:tcBorders>
            <w:vAlign w:val="center"/>
          </w:tcPr>
          <w:p w14:paraId="2B5B09AB">
            <w:pPr>
              <w:bidi w:val="0"/>
              <w:jc w:val="center"/>
            </w:pPr>
            <w:r>
              <w:t>打开油罐量油孔卸油</w:t>
            </w:r>
          </w:p>
        </w:tc>
        <w:tc>
          <w:tcPr>
            <w:tcW w:w="340" w:type="pct"/>
            <w:tcBorders>
              <w:top w:val="single" w:color="000000" w:sz="2" w:space="0"/>
              <w:bottom w:val="single" w:color="000000" w:sz="2" w:space="0"/>
            </w:tcBorders>
            <w:vAlign w:val="center"/>
          </w:tcPr>
          <w:p w14:paraId="210EA643">
            <w:pPr>
              <w:bidi w:val="0"/>
              <w:jc w:val="center"/>
            </w:pPr>
            <w:r>
              <w:t>1</w:t>
            </w:r>
          </w:p>
        </w:tc>
        <w:tc>
          <w:tcPr>
            <w:tcW w:w="340" w:type="pct"/>
            <w:tcBorders>
              <w:top w:val="single" w:color="000000" w:sz="2" w:space="0"/>
              <w:bottom w:val="single" w:color="000000" w:sz="2" w:space="0"/>
            </w:tcBorders>
            <w:vAlign w:val="center"/>
          </w:tcPr>
          <w:p w14:paraId="67B35888">
            <w:pPr>
              <w:bidi w:val="0"/>
              <w:jc w:val="center"/>
            </w:pPr>
            <w:r>
              <w:t>3</w:t>
            </w:r>
          </w:p>
        </w:tc>
        <w:tc>
          <w:tcPr>
            <w:tcW w:w="340" w:type="pct"/>
            <w:tcBorders>
              <w:top w:val="single" w:color="000000" w:sz="2" w:space="0"/>
              <w:bottom w:val="single" w:color="000000" w:sz="2" w:space="0"/>
            </w:tcBorders>
            <w:vAlign w:val="center"/>
          </w:tcPr>
          <w:p w14:paraId="49D263F6">
            <w:pPr>
              <w:bidi w:val="0"/>
              <w:jc w:val="center"/>
            </w:pPr>
            <w:r>
              <w:t>40</w:t>
            </w:r>
          </w:p>
        </w:tc>
        <w:tc>
          <w:tcPr>
            <w:tcW w:w="422" w:type="pct"/>
            <w:tcBorders>
              <w:top w:val="single" w:color="000000" w:sz="2" w:space="0"/>
              <w:bottom w:val="single" w:color="000000" w:sz="2" w:space="0"/>
            </w:tcBorders>
            <w:vAlign w:val="center"/>
          </w:tcPr>
          <w:p w14:paraId="50327C32">
            <w:pPr>
              <w:bidi w:val="0"/>
              <w:jc w:val="center"/>
            </w:pPr>
            <w:r>
              <w:t>120</w:t>
            </w:r>
          </w:p>
        </w:tc>
        <w:tc>
          <w:tcPr>
            <w:tcW w:w="414" w:type="pct"/>
            <w:tcBorders>
              <w:top w:val="single" w:color="000000" w:sz="2" w:space="0"/>
              <w:bottom w:val="single" w:color="000000" w:sz="2" w:space="0"/>
            </w:tcBorders>
            <w:vAlign w:val="center"/>
          </w:tcPr>
          <w:p w14:paraId="7AA383F6">
            <w:pPr>
              <w:bidi w:val="0"/>
              <w:jc w:val="center"/>
            </w:pPr>
            <w:r>
              <w:t>Ⅲ</w:t>
            </w:r>
          </w:p>
        </w:tc>
        <w:tc>
          <w:tcPr>
            <w:tcW w:w="648" w:type="pct"/>
            <w:tcBorders>
              <w:top w:val="single" w:color="000000" w:sz="2" w:space="0"/>
              <w:bottom w:val="single" w:color="000000" w:sz="2" w:space="0"/>
            </w:tcBorders>
            <w:vAlign w:val="center"/>
          </w:tcPr>
          <w:p w14:paraId="4F6C2A56">
            <w:pPr>
              <w:bidi w:val="0"/>
              <w:jc w:val="center"/>
            </w:pPr>
            <w:r>
              <w:t>一般风险</w:t>
            </w:r>
          </w:p>
        </w:tc>
        <w:tc>
          <w:tcPr>
            <w:tcW w:w="412" w:type="pct"/>
            <w:tcBorders>
              <w:top w:val="single" w:color="000000" w:sz="2" w:space="0"/>
              <w:bottom w:val="single" w:color="000000" w:sz="2" w:space="0"/>
            </w:tcBorders>
            <w:vAlign w:val="center"/>
          </w:tcPr>
          <w:p w14:paraId="3E72CEB3">
            <w:pPr>
              <w:bidi w:val="0"/>
              <w:jc w:val="center"/>
            </w:pPr>
            <w:r>
              <w:t>黄色</w:t>
            </w:r>
          </w:p>
        </w:tc>
      </w:tr>
      <w:tr w14:paraId="12462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32179007">
            <w:pPr>
              <w:bidi w:val="0"/>
              <w:jc w:val="center"/>
            </w:pPr>
          </w:p>
        </w:tc>
        <w:tc>
          <w:tcPr>
            <w:tcW w:w="1646" w:type="pct"/>
            <w:gridSpan w:val="2"/>
            <w:tcBorders>
              <w:top w:val="single" w:color="000000" w:sz="2" w:space="0"/>
              <w:bottom w:val="single" w:color="000000" w:sz="2" w:space="0"/>
            </w:tcBorders>
            <w:vAlign w:val="center"/>
          </w:tcPr>
          <w:p w14:paraId="4ABED3F6">
            <w:pPr>
              <w:bidi w:val="0"/>
              <w:jc w:val="center"/>
            </w:pPr>
            <w:r>
              <w:t>卸油时无人值守</w:t>
            </w:r>
          </w:p>
        </w:tc>
        <w:tc>
          <w:tcPr>
            <w:tcW w:w="340" w:type="pct"/>
            <w:tcBorders>
              <w:top w:val="single" w:color="000000" w:sz="2" w:space="0"/>
              <w:bottom w:val="single" w:color="000000" w:sz="2" w:space="0"/>
            </w:tcBorders>
            <w:vAlign w:val="center"/>
          </w:tcPr>
          <w:p w14:paraId="31273E70">
            <w:pPr>
              <w:bidi w:val="0"/>
              <w:jc w:val="center"/>
            </w:pPr>
            <w:r>
              <w:t>1</w:t>
            </w:r>
          </w:p>
        </w:tc>
        <w:tc>
          <w:tcPr>
            <w:tcW w:w="340" w:type="pct"/>
            <w:tcBorders>
              <w:top w:val="single" w:color="000000" w:sz="2" w:space="0"/>
              <w:bottom w:val="single" w:color="000000" w:sz="2" w:space="0"/>
            </w:tcBorders>
            <w:vAlign w:val="center"/>
          </w:tcPr>
          <w:p w14:paraId="6C783270">
            <w:pPr>
              <w:bidi w:val="0"/>
              <w:jc w:val="center"/>
            </w:pPr>
            <w:r>
              <w:t>3</w:t>
            </w:r>
          </w:p>
        </w:tc>
        <w:tc>
          <w:tcPr>
            <w:tcW w:w="340" w:type="pct"/>
            <w:tcBorders>
              <w:top w:val="single" w:color="000000" w:sz="2" w:space="0"/>
              <w:bottom w:val="single" w:color="000000" w:sz="2" w:space="0"/>
            </w:tcBorders>
            <w:vAlign w:val="center"/>
          </w:tcPr>
          <w:p w14:paraId="1F3845E1">
            <w:pPr>
              <w:bidi w:val="0"/>
              <w:jc w:val="center"/>
            </w:pPr>
            <w:r>
              <w:t>40</w:t>
            </w:r>
          </w:p>
        </w:tc>
        <w:tc>
          <w:tcPr>
            <w:tcW w:w="422" w:type="pct"/>
            <w:tcBorders>
              <w:top w:val="single" w:color="000000" w:sz="2" w:space="0"/>
              <w:bottom w:val="single" w:color="000000" w:sz="2" w:space="0"/>
            </w:tcBorders>
            <w:vAlign w:val="center"/>
          </w:tcPr>
          <w:p w14:paraId="586B7B0C">
            <w:pPr>
              <w:bidi w:val="0"/>
              <w:jc w:val="center"/>
            </w:pPr>
            <w:r>
              <w:t>120</w:t>
            </w:r>
          </w:p>
        </w:tc>
        <w:tc>
          <w:tcPr>
            <w:tcW w:w="414" w:type="pct"/>
            <w:tcBorders>
              <w:top w:val="single" w:color="000000" w:sz="2" w:space="0"/>
              <w:bottom w:val="single" w:color="000000" w:sz="2" w:space="0"/>
            </w:tcBorders>
            <w:vAlign w:val="center"/>
          </w:tcPr>
          <w:p w14:paraId="09C19E52">
            <w:pPr>
              <w:bidi w:val="0"/>
              <w:jc w:val="center"/>
            </w:pPr>
            <w:r>
              <w:t>Ⅲ</w:t>
            </w:r>
          </w:p>
        </w:tc>
        <w:tc>
          <w:tcPr>
            <w:tcW w:w="648" w:type="pct"/>
            <w:tcBorders>
              <w:top w:val="single" w:color="000000" w:sz="2" w:space="0"/>
              <w:bottom w:val="single" w:color="000000" w:sz="2" w:space="0"/>
            </w:tcBorders>
            <w:vAlign w:val="center"/>
          </w:tcPr>
          <w:p w14:paraId="52C2F731">
            <w:pPr>
              <w:bidi w:val="0"/>
              <w:jc w:val="center"/>
            </w:pPr>
            <w:r>
              <w:t>一般风险</w:t>
            </w:r>
          </w:p>
        </w:tc>
        <w:tc>
          <w:tcPr>
            <w:tcW w:w="412" w:type="pct"/>
            <w:tcBorders>
              <w:top w:val="single" w:color="000000" w:sz="2" w:space="0"/>
              <w:bottom w:val="single" w:color="000000" w:sz="2" w:space="0"/>
            </w:tcBorders>
            <w:vAlign w:val="center"/>
          </w:tcPr>
          <w:p w14:paraId="36CF53D8">
            <w:pPr>
              <w:bidi w:val="0"/>
              <w:jc w:val="center"/>
            </w:pPr>
            <w:r>
              <w:t>黄色</w:t>
            </w:r>
          </w:p>
        </w:tc>
      </w:tr>
      <w:tr w14:paraId="7DDC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C4B8BA2">
            <w:pPr>
              <w:bidi w:val="0"/>
              <w:jc w:val="center"/>
            </w:pPr>
          </w:p>
        </w:tc>
        <w:tc>
          <w:tcPr>
            <w:tcW w:w="1646" w:type="pct"/>
            <w:gridSpan w:val="2"/>
            <w:tcBorders>
              <w:top w:val="single" w:color="000000" w:sz="2" w:space="0"/>
              <w:bottom w:val="single" w:color="000000" w:sz="2" w:space="0"/>
            </w:tcBorders>
            <w:vAlign w:val="center"/>
          </w:tcPr>
          <w:p w14:paraId="299D7ECA">
            <w:pPr>
              <w:bidi w:val="0"/>
              <w:jc w:val="center"/>
            </w:pPr>
            <w:r>
              <w:t>对空罐计量不准确，造成冒油、溢油</w:t>
            </w:r>
          </w:p>
        </w:tc>
        <w:tc>
          <w:tcPr>
            <w:tcW w:w="340" w:type="pct"/>
            <w:tcBorders>
              <w:top w:val="single" w:color="000000" w:sz="2" w:space="0"/>
              <w:bottom w:val="single" w:color="000000" w:sz="2" w:space="0"/>
            </w:tcBorders>
            <w:vAlign w:val="center"/>
          </w:tcPr>
          <w:p w14:paraId="39CB827C">
            <w:pPr>
              <w:bidi w:val="0"/>
              <w:jc w:val="center"/>
            </w:pPr>
            <w:r>
              <w:t>1</w:t>
            </w:r>
          </w:p>
        </w:tc>
        <w:tc>
          <w:tcPr>
            <w:tcW w:w="340" w:type="pct"/>
            <w:tcBorders>
              <w:top w:val="single" w:color="000000" w:sz="2" w:space="0"/>
              <w:bottom w:val="single" w:color="000000" w:sz="2" w:space="0"/>
            </w:tcBorders>
            <w:vAlign w:val="center"/>
          </w:tcPr>
          <w:p w14:paraId="57F563AC">
            <w:pPr>
              <w:bidi w:val="0"/>
              <w:jc w:val="center"/>
            </w:pPr>
            <w:r>
              <w:t>6</w:t>
            </w:r>
          </w:p>
        </w:tc>
        <w:tc>
          <w:tcPr>
            <w:tcW w:w="340" w:type="pct"/>
            <w:tcBorders>
              <w:top w:val="single" w:color="000000" w:sz="2" w:space="0"/>
              <w:bottom w:val="single" w:color="000000" w:sz="2" w:space="0"/>
            </w:tcBorders>
            <w:vAlign w:val="center"/>
          </w:tcPr>
          <w:p w14:paraId="729E0D84">
            <w:pPr>
              <w:bidi w:val="0"/>
              <w:jc w:val="center"/>
            </w:pPr>
            <w:r>
              <w:t>15</w:t>
            </w:r>
          </w:p>
        </w:tc>
        <w:tc>
          <w:tcPr>
            <w:tcW w:w="422" w:type="pct"/>
            <w:tcBorders>
              <w:top w:val="single" w:color="000000" w:sz="2" w:space="0"/>
              <w:bottom w:val="single" w:color="000000" w:sz="2" w:space="0"/>
            </w:tcBorders>
            <w:vAlign w:val="center"/>
          </w:tcPr>
          <w:p w14:paraId="6815EC73">
            <w:pPr>
              <w:bidi w:val="0"/>
              <w:jc w:val="center"/>
            </w:pPr>
            <w:r>
              <w:t>90</w:t>
            </w:r>
          </w:p>
        </w:tc>
        <w:tc>
          <w:tcPr>
            <w:tcW w:w="414" w:type="pct"/>
            <w:tcBorders>
              <w:top w:val="single" w:color="000000" w:sz="2" w:space="0"/>
              <w:bottom w:val="single" w:color="000000" w:sz="2" w:space="0"/>
            </w:tcBorders>
            <w:vAlign w:val="center"/>
          </w:tcPr>
          <w:p w14:paraId="57173FE3">
            <w:pPr>
              <w:bidi w:val="0"/>
              <w:jc w:val="center"/>
            </w:pPr>
            <w:r>
              <w:t>Ⅲ</w:t>
            </w:r>
          </w:p>
        </w:tc>
        <w:tc>
          <w:tcPr>
            <w:tcW w:w="648" w:type="pct"/>
            <w:tcBorders>
              <w:top w:val="single" w:color="000000" w:sz="2" w:space="0"/>
              <w:bottom w:val="single" w:color="000000" w:sz="2" w:space="0"/>
            </w:tcBorders>
            <w:vAlign w:val="center"/>
          </w:tcPr>
          <w:p w14:paraId="053D9110">
            <w:pPr>
              <w:bidi w:val="0"/>
              <w:jc w:val="center"/>
            </w:pPr>
            <w:r>
              <w:t>一般风险</w:t>
            </w:r>
          </w:p>
        </w:tc>
        <w:tc>
          <w:tcPr>
            <w:tcW w:w="412" w:type="pct"/>
            <w:tcBorders>
              <w:top w:val="single" w:color="000000" w:sz="2" w:space="0"/>
              <w:bottom w:val="single" w:color="000000" w:sz="2" w:space="0"/>
            </w:tcBorders>
            <w:vAlign w:val="center"/>
          </w:tcPr>
          <w:p w14:paraId="0BDFA3CC">
            <w:pPr>
              <w:bidi w:val="0"/>
              <w:jc w:val="center"/>
            </w:pPr>
            <w:r>
              <w:t>黄色</w:t>
            </w:r>
          </w:p>
        </w:tc>
      </w:tr>
      <w:tr w14:paraId="1D04D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20AE58B1">
            <w:pPr>
              <w:bidi w:val="0"/>
              <w:jc w:val="center"/>
            </w:pPr>
          </w:p>
        </w:tc>
        <w:tc>
          <w:tcPr>
            <w:tcW w:w="1646" w:type="pct"/>
            <w:gridSpan w:val="2"/>
            <w:tcBorders>
              <w:top w:val="single" w:color="000000" w:sz="2" w:space="0"/>
              <w:bottom w:val="single" w:color="000000" w:sz="2" w:space="0"/>
            </w:tcBorders>
            <w:vAlign w:val="center"/>
          </w:tcPr>
          <w:p w14:paraId="17392157">
            <w:pPr>
              <w:bidi w:val="0"/>
              <w:jc w:val="center"/>
            </w:pPr>
            <w:r>
              <w:t>夜晚卸油无照明或照明不足</w:t>
            </w:r>
          </w:p>
        </w:tc>
        <w:tc>
          <w:tcPr>
            <w:tcW w:w="340" w:type="pct"/>
            <w:tcBorders>
              <w:top w:val="single" w:color="000000" w:sz="2" w:space="0"/>
              <w:bottom w:val="single" w:color="000000" w:sz="2" w:space="0"/>
            </w:tcBorders>
            <w:vAlign w:val="center"/>
          </w:tcPr>
          <w:p w14:paraId="2106D76B">
            <w:pPr>
              <w:bidi w:val="0"/>
              <w:jc w:val="center"/>
            </w:pPr>
            <w:r>
              <w:t>1</w:t>
            </w:r>
          </w:p>
        </w:tc>
        <w:tc>
          <w:tcPr>
            <w:tcW w:w="340" w:type="pct"/>
            <w:tcBorders>
              <w:top w:val="single" w:color="000000" w:sz="2" w:space="0"/>
              <w:bottom w:val="single" w:color="000000" w:sz="2" w:space="0"/>
            </w:tcBorders>
            <w:vAlign w:val="center"/>
          </w:tcPr>
          <w:p w14:paraId="741E73BD">
            <w:pPr>
              <w:bidi w:val="0"/>
              <w:jc w:val="center"/>
            </w:pPr>
            <w:r>
              <w:t>6</w:t>
            </w:r>
          </w:p>
        </w:tc>
        <w:tc>
          <w:tcPr>
            <w:tcW w:w="340" w:type="pct"/>
            <w:tcBorders>
              <w:top w:val="single" w:color="000000" w:sz="2" w:space="0"/>
              <w:bottom w:val="single" w:color="000000" w:sz="2" w:space="0"/>
            </w:tcBorders>
            <w:vAlign w:val="center"/>
          </w:tcPr>
          <w:p w14:paraId="5EC2D51F">
            <w:pPr>
              <w:bidi w:val="0"/>
              <w:jc w:val="center"/>
            </w:pPr>
            <w:r>
              <w:t>15</w:t>
            </w:r>
          </w:p>
        </w:tc>
        <w:tc>
          <w:tcPr>
            <w:tcW w:w="422" w:type="pct"/>
            <w:tcBorders>
              <w:top w:val="single" w:color="000000" w:sz="2" w:space="0"/>
              <w:bottom w:val="single" w:color="000000" w:sz="2" w:space="0"/>
            </w:tcBorders>
            <w:vAlign w:val="center"/>
          </w:tcPr>
          <w:p w14:paraId="7DD40C13">
            <w:pPr>
              <w:bidi w:val="0"/>
              <w:jc w:val="center"/>
            </w:pPr>
            <w:r>
              <w:t>90</w:t>
            </w:r>
          </w:p>
        </w:tc>
        <w:tc>
          <w:tcPr>
            <w:tcW w:w="414" w:type="pct"/>
            <w:tcBorders>
              <w:top w:val="single" w:color="000000" w:sz="2" w:space="0"/>
              <w:bottom w:val="single" w:color="000000" w:sz="2" w:space="0"/>
            </w:tcBorders>
            <w:vAlign w:val="center"/>
          </w:tcPr>
          <w:p w14:paraId="1AFE82A0">
            <w:pPr>
              <w:bidi w:val="0"/>
              <w:jc w:val="center"/>
            </w:pPr>
            <w:r>
              <w:t>Ⅲ</w:t>
            </w:r>
          </w:p>
        </w:tc>
        <w:tc>
          <w:tcPr>
            <w:tcW w:w="648" w:type="pct"/>
            <w:tcBorders>
              <w:top w:val="single" w:color="000000" w:sz="2" w:space="0"/>
              <w:bottom w:val="single" w:color="000000" w:sz="2" w:space="0"/>
            </w:tcBorders>
            <w:vAlign w:val="center"/>
          </w:tcPr>
          <w:p w14:paraId="5C4339C2">
            <w:pPr>
              <w:bidi w:val="0"/>
              <w:jc w:val="center"/>
            </w:pPr>
            <w:r>
              <w:t>一般风险</w:t>
            </w:r>
          </w:p>
        </w:tc>
        <w:tc>
          <w:tcPr>
            <w:tcW w:w="412" w:type="pct"/>
            <w:tcBorders>
              <w:top w:val="single" w:color="000000" w:sz="2" w:space="0"/>
              <w:bottom w:val="single" w:color="000000" w:sz="2" w:space="0"/>
            </w:tcBorders>
            <w:vAlign w:val="center"/>
          </w:tcPr>
          <w:p w14:paraId="6333776E">
            <w:pPr>
              <w:bidi w:val="0"/>
              <w:jc w:val="center"/>
            </w:pPr>
            <w:r>
              <w:t>黄色</w:t>
            </w:r>
          </w:p>
        </w:tc>
      </w:tr>
      <w:tr w14:paraId="22778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5190A09">
            <w:pPr>
              <w:bidi w:val="0"/>
              <w:jc w:val="center"/>
            </w:pPr>
          </w:p>
        </w:tc>
        <w:tc>
          <w:tcPr>
            <w:tcW w:w="1646" w:type="pct"/>
            <w:gridSpan w:val="2"/>
            <w:tcBorders>
              <w:top w:val="single" w:color="000000" w:sz="2" w:space="0"/>
              <w:bottom w:val="single" w:color="000000" w:sz="2" w:space="0"/>
            </w:tcBorders>
            <w:vAlign w:val="center"/>
          </w:tcPr>
          <w:p w14:paraId="03BCD93D">
            <w:pPr>
              <w:bidi w:val="0"/>
              <w:jc w:val="center"/>
            </w:pPr>
            <w:r>
              <w:t>液位计故障，油罐剩余容积计算不准确，造成油罐满罐溢出。</w:t>
            </w:r>
          </w:p>
        </w:tc>
        <w:tc>
          <w:tcPr>
            <w:tcW w:w="340" w:type="pct"/>
            <w:tcBorders>
              <w:top w:val="single" w:color="000000" w:sz="2" w:space="0"/>
              <w:bottom w:val="single" w:color="000000" w:sz="2" w:space="0"/>
            </w:tcBorders>
            <w:vAlign w:val="center"/>
          </w:tcPr>
          <w:p w14:paraId="335B14FA">
            <w:pPr>
              <w:bidi w:val="0"/>
              <w:jc w:val="center"/>
            </w:pPr>
            <w:r>
              <w:t>1</w:t>
            </w:r>
          </w:p>
        </w:tc>
        <w:tc>
          <w:tcPr>
            <w:tcW w:w="340" w:type="pct"/>
            <w:tcBorders>
              <w:top w:val="single" w:color="000000" w:sz="2" w:space="0"/>
              <w:bottom w:val="single" w:color="000000" w:sz="2" w:space="0"/>
            </w:tcBorders>
            <w:vAlign w:val="center"/>
          </w:tcPr>
          <w:p w14:paraId="6868BA58">
            <w:pPr>
              <w:bidi w:val="0"/>
              <w:jc w:val="center"/>
            </w:pPr>
            <w:r>
              <w:t>6</w:t>
            </w:r>
          </w:p>
        </w:tc>
        <w:tc>
          <w:tcPr>
            <w:tcW w:w="340" w:type="pct"/>
            <w:tcBorders>
              <w:top w:val="single" w:color="000000" w:sz="2" w:space="0"/>
              <w:bottom w:val="single" w:color="000000" w:sz="2" w:space="0"/>
            </w:tcBorders>
            <w:vAlign w:val="center"/>
          </w:tcPr>
          <w:p w14:paraId="3516A219">
            <w:pPr>
              <w:bidi w:val="0"/>
              <w:jc w:val="center"/>
            </w:pPr>
            <w:r>
              <w:t>15</w:t>
            </w:r>
          </w:p>
        </w:tc>
        <w:tc>
          <w:tcPr>
            <w:tcW w:w="422" w:type="pct"/>
            <w:tcBorders>
              <w:top w:val="single" w:color="000000" w:sz="2" w:space="0"/>
              <w:bottom w:val="single" w:color="000000" w:sz="2" w:space="0"/>
            </w:tcBorders>
            <w:vAlign w:val="center"/>
          </w:tcPr>
          <w:p w14:paraId="6230FA19">
            <w:pPr>
              <w:bidi w:val="0"/>
              <w:jc w:val="center"/>
            </w:pPr>
            <w:r>
              <w:t>90</w:t>
            </w:r>
          </w:p>
        </w:tc>
        <w:tc>
          <w:tcPr>
            <w:tcW w:w="414" w:type="pct"/>
            <w:tcBorders>
              <w:top w:val="single" w:color="000000" w:sz="2" w:space="0"/>
              <w:bottom w:val="single" w:color="000000" w:sz="2" w:space="0"/>
            </w:tcBorders>
            <w:vAlign w:val="center"/>
          </w:tcPr>
          <w:p w14:paraId="74A847F6">
            <w:pPr>
              <w:bidi w:val="0"/>
              <w:jc w:val="center"/>
            </w:pPr>
            <w:r>
              <w:t>Ⅲ</w:t>
            </w:r>
          </w:p>
        </w:tc>
        <w:tc>
          <w:tcPr>
            <w:tcW w:w="648" w:type="pct"/>
            <w:tcBorders>
              <w:top w:val="single" w:color="000000" w:sz="2" w:space="0"/>
              <w:bottom w:val="single" w:color="000000" w:sz="2" w:space="0"/>
            </w:tcBorders>
            <w:vAlign w:val="center"/>
          </w:tcPr>
          <w:p w14:paraId="52C1F5AF">
            <w:pPr>
              <w:bidi w:val="0"/>
              <w:jc w:val="center"/>
            </w:pPr>
            <w:r>
              <w:t>一般风险</w:t>
            </w:r>
          </w:p>
        </w:tc>
        <w:tc>
          <w:tcPr>
            <w:tcW w:w="412" w:type="pct"/>
            <w:tcBorders>
              <w:top w:val="single" w:color="000000" w:sz="2" w:space="0"/>
              <w:bottom w:val="single" w:color="000000" w:sz="2" w:space="0"/>
            </w:tcBorders>
            <w:vAlign w:val="center"/>
          </w:tcPr>
          <w:p w14:paraId="2CC23B26">
            <w:pPr>
              <w:bidi w:val="0"/>
              <w:jc w:val="center"/>
            </w:pPr>
            <w:r>
              <w:t>黄色</w:t>
            </w:r>
          </w:p>
        </w:tc>
      </w:tr>
      <w:tr w14:paraId="76503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top w:val="single" w:color="000000" w:sz="2" w:space="0"/>
              <w:bottom w:val="single" w:color="000000" w:sz="2" w:space="0"/>
            </w:tcBorders>
            <w:vAlign w:val="center"/>
          </w:tcPr>
          <w:p w14:paraId="4F43D4E8">
            <w:pPr>
              <w:bidi w:val="0"/>
              <w:jc w:val="center"/>
            </w:pPr>
            <w:r>
              <w:t>量油</w:t>
            </w:r>
          </w:p>
        </w:tc>
        <w:tc>
          <w:tcPr>
            <w:tcW w:w="1646" w:type="pct"/>
            <w:gridSpan w:val="2"/>
            <w:tcBorders>
              <w:top w:val="single" w:color="000000" w:sz="2" w:space="0"/>
              <w:bottom w:val="single" w:color="000000" w:sz="2" w:space="0"/>
            </w:tcBorders>
            <w:vAlign w:val="center"/>
          </w:tcPr>
          <w:p w14:paraId="69135DC0">
            <w:pPr>
              <w:bidi w:val="0"/>
              <w:jc w:val="center"/>
            </w:pPr>
            <w:r>
              <w:t>不穿戴防静电工作服</w:t>
            </w:r>
          </w:p>
        </w:tc>
        <w:tc>
          <w:tcPr>
            <w:tcW w:w="340" w:type="pct"/>
            <w:tcBorders>
              <w:top w:val="single" w:color="000000" w:sz="2" w:space="0"/>
              <w:bottom w:val="single" w:color="000000" w:sz="2" w:space="0"/>
            </w:tcBorders>
            <w:vAlign w:val="center"/>
          </w:tcPr>
          <w:p w14:paraId="199DD3BF">
            <w:pPr>
              <w:bidi w:val="0"/>
              <w:jc w:val="center"/>
            </w:pPr>
            <w:r>
              <w:t>1</w:t>
            </w:r>
          </w:p>
        </w:tc>
        <w:tc>
          <w:tcPr>
            <w:tcW w:w="340" w:type="pct"/>
            <w:tcBorders>
              <w:top w:val="single" w:color="000000" w:sz="2" w:space="0"/>
              <w:bottom w:val="single" w:color="000000" w:sz="2" w:space="0"/>
            </w:tcBorders>
            <w:vAlign w:val="center"/>
          </w:tcPr>
          <w:p w14:paraId="240BE603">
            <w:pPr>
              <w:bidi w:val="0"/>
              <w:jc w:val="center"/>
            </w:pPr>
            <w:r>
              <w:t>6</w:t>
            </w:r>
          </w:p>
        </w:tc>
        <w:tc>
          <w:tcPr>
            <w:tcW w:w="340" w:type="pct"/>
            <w:tcBorders>
              <w:top w:val="single" w:color="000000" w:sz="2" w:space="0"/>
              <w:bottom w:val="single" w:color="000000" w:sz="2" w:space="0"/>
            </w:tcBorders>
            <w:vAlign w:val="center"/>
          </w:tcPr>
          <w:p w14:paraId="29726830">
            <w:pPr>
              <w:bidi w:val="0"/>
              <w:jc w:val="center"/>
            </w:pPr>
            <w:r>
              <w:t>15</w:t>
            </w:r>
          </w:p>
        </w:tc>
        <w:tc>
          <w:tcPr>
            <w:tcW w:w="422" w:type="pct"/>
            <w:tcBorders>
              <w:top w:val="single" w:color="000000" w:sz="2" w:space="0"/>
              <w:bottom w:val="single" w:color="000000" w:sz="2" w:space="0"/>
            </w:tcBorders>
            <w:vAlign w:val="center"/>
          </w:tcPr>
          <w:p w14:paraId="4A96672A">
            <w:pPr>
              <w:bidi w:val="0"/>
              <w:jc w:val="center"/>
            </w:pPr>
            <w:r>
              <w:t>90</w:t>
            </w:r>
          </w:p>
        </w:tc>
        <w:tc>
          <w:tcPr>
            <w:tcW w:w="414" w:type="pct"/>
            <w:tcBorders>
              <w:top w:val="single" w:color="000000" w:sz="2" w:space="0"/>
              <w:bottom w:val="single" w:color="000000" w:sz="2" w:space="0"/>
            </w:tcBorders>
            <w:vAlign w:val="center"/>
          </w:tcPr>
          <w:p w14:paraId="05C200F7">
            <w:pPr>
              <w:bidi w:val="0"/>
              <w:jc w:val="center"/>
            </w:pPr>
            <w:r>
              <w:t>Ⅲ</w:t>
            </w:r>
          </w:p>
        </w:tc>
        <w:tc>
          <w:tcPr>
            <w:tcW w:w="648" w:type="pct"/>
            <w:tcBorders>
              <w:top w:val="single" w:color="000000" w:sz="2" w:space="0"/>
              <w:bottom w:val="single" w:color="000000" w:sz="2" w:space="0"/>
            </w:tcBorders>
            <w:vAlign w:val="center"/>
          </w:tcPr>
          <w:p w14:paraId="4AAD31B3">
            <w:pPr>
              <w:bidi w:val="0"/>
              <w:jc w:val="center"/>
            </w:pPr>
            <w:r>
              <w:t>一般风险</w:t>
            </w:r>
          </w:p>
        </w:tc>
        <w:tc>
          <w:tcPr>
            <w:tcW w:w="412" w:type="pct"/>
            <w:tcBorders>
              <w:top w:val="single" w:color="000000" w:sz="2" w:space="0"/>
              <w:bottom w:val="single" w:color="000000" w:sz="2" w:space="0"/>
            </w:tcBorders>
            <w:vAlign w:val="center"/>
          </w:tcPr>
          <w:p w14:paraId="5D064F0A">
            <w:pPr>
              <w:bidi w:val="0"/>
              <w:jc w:val="center"/>
            </w:pPr>
            <w:r>
              <w:t>黄色</w:t>
            </w:r>
          </w:p>
        </w:tc>
      </w:tr>
      <w:tr w14:paraId="4C8ED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5373033C">
            <w:pPr>
              <w:bidi w:val="0"/>
              <w:jc w:val="center"/>
            </w:pPr>
          </w:p>
        </w:tc>
        <w:tc>
          <w:tcPr>
            <w:tcW w:w="1646" w:type="pct"/>
            <w:gridSpan w:val="2"/>
            <w:tcBorders>
              <w:top w:val="single" w:color="000000" w:sz="2" w:space="0"/>
              <w:bottom w:val="single" w:color="000000" w:sz="2" w:space="0"/>
            </w:tcBorders>
            <w:vAlign w:val="center"/>
          </w:tcPr>
          <w:p w14:paraId="6E4C1FD8">
            <w:pPr>
              <w:bidi w:val="0"/>
              <w:jc w:val="center"/>
            </w:pPr>
            <w:r>
              <w:t>使用不防爆的工具量油，如铁棍等</w:t>
            </w:r>
          </w:p>
        </w:tc>
        <w:tc>
          <w:tcPr>
            <w:tcW w:w="340" w:type="pct"/>
            <w:tcBorders>
              <w:top w:val="single" w:color="000000" w:sz="2" w:space="0"/>
              <w:bottom w:val="single" w:color="000000" w:sz="2" w:space="0"/>
            </w:tcBorders>
            <w:vAlign w:val="center"/>
          </w:tcPr>
          <w:p w14:paraId="4024E073">
            <w:pPr>
              <w:bidi w:val="0"/>
              <w:jc w:val="center"/>
            </w:pPr>
            <w:r>
              <w:t>1</w:t>
            </w:r>
          </w:p>
        </w:tc>
        <w:tc>
          <w:tcPr>
            <w:tcW w:w="340" w:type="pct"/>
            <w:tcBorders>
              <w:top w:val="single" w:color="000000" w:sz="2" w:space="0"/>
              <w:bottom w:val="single" w:color="000000" w:sz="2" w:space="0"/>
            </w:tcBorders>
            <w:vAlign w:val="center"/>
          </w:tcPr>
          <w:p w14:paraId="2E9D9503">
            <w:pPr>
              <w:bidi w:val="0"/>
              <w:jc w:val="center"/>
            </w:pPr>
            <w:r>
              <w:t>6</w:t>
            </w:r>
          </w:p>
        </w:tc>
        <w:tc>
          <w:tcPr>
            <w:tcW w:w="340" w:type="pct"/>
            <w:tcBorders>
              <w:top w:val="single" w:color="000000" w:sz="2" w:space="0"/>
              <w:bottom w:val="single" w:color="000000" w:sz="2" w:space="0"/>
            </w:tcBorders>
            <w:vAlign w:val="center"/>
          </w:tcPr>
          <w:p w14:paraId="3E9FBA12">
            <w:pPr>
              <w:bidi w:val="0"/>
              <w:jc w:val="center"/>
            </w:pPr>
            <w:r>
              <w:t>15</w:t>
            </w:r>
          </w:p>
        </w:tc>
        <w:tc>
          <w:tcPr>
            <w:tcW w:w="422" w:type="pct"/>
            <w:tcBorders>
              <w:top w:val="single" w:color="000000" w:sz="2" w:space="0"/>
              <w:bottom w:val="single" w:color="000000" w:sz="2" w:space="0"/>
            </w:tcBorders>
            <w:vAlign w:val="center"/>
          </w:tcPr>
          <w:p w14:paraId="646EE757">
            <w:pPr>
              <w:bidi w:val="0"/>
              <w:jc w:val="center"/>
            </w:pPr>
            <w:r>
              <w:t>90</w:t>
            </w:r>
          </w:p>
        </w:tc>
        <w:tc>
          <w:tcPr>
            <w:tcW w:w="414" w:type="pct"/>
            <w:tcBorders>
              <w:top w:val="single" w:color="000000" w:sz="2" w:space="0"/>
              <w:bottom w:val="single" w:color="000000" w:sz="2" w:space="0"/>
            </w:tcBorders>
            <w:vAlign w:val="center"/>
          </w:tcPr>
          <w:p w14:paraId="451F28FF">
            <w:pPr>
              <w:bidi w:val="0"/>
              <w:jc w:val="center"/>
            </w:pPr>
            <w:r>
              <w:t>Ⅲ</w:t>
            </w:r>
          </w:p>
        </w:tc>
        <w:tc>
          <w:tcPr>
            <w:tcW w:w="648" w:type="pct"/>
            <w:tcBorders>
              <w:top w:val="single" w:color="000000" w:sz="2" w:space="0"/>
              <w:bottom w:val="single" w:color="000000" w:sz="2" w:space="0"/>
            </w:tcBorders>
            <w:vAlign w:val="center"/>
          </w:tcPr>
          <w:p w14:paraId="3C36CC37">
            <w:pPr>
              <w:bidi w:val="0"/>
              <w:jc w:val="center"/>
            </w:pPr>
            <w:r>
              <w:t>一般风险</w:t>
            </w:r>
          </w:p>
        </w:tc>
        <w:tc>
          <w:tcPr>
            <w:tcW w:w="412" w:type="pct"/>
            <w:tcBorders>
              <w:top w:val="single" w:color="000000" w:sz="2" w:space="0"/>
              <w:bottom w:val="single" w:color="000000" w:sz="2" w:space="0"/>
            </w:tcBorders>
            <w:vAlign w:val="center"/>
          </w:tcPr>
          <w:p w14:paraId="1DFED2EE">
            <w:pPr>
              <w:bidi w:val="0"/>
              <w:jc w:val="center"/>
            </w:pPr>
            <w:r>
              <w:t>黄色</w:t>
            </w:r>
          </w:p>
        </w:tc>
      </w:tr>
      <w:tr w14:paraId="03FE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98CA099">
            <w:pPr>
              <w:bidi w:val="0"/>
              <w:jc w:val="center"/>
            </w:pPr>
          </w:p>
        </w:tc>
        <w:tc>
          <w:tcPr>
            <w:tcW w:w="1646" w:type="pct"/>
            <w:gridSpan w:val="2"/>
            <w:tcBorders>
              <w:top w:val="single" w:color="000000" w:sz="2" w:space="0"/>
              <w:bottom w:val="single" w:color="000000" w:sz="2" w:space="0"/>
            </w:tcBorders>
            <w:vAlign w:val="center"/>
          </w:tcPr>
          <w:p w14:paraId="724583EB">
            <w:pPr>
              <w:bidi w:val="0"/>
              <w:jc w:val="center"/>
            </w:pPr>
            <w:r>
              <w:t>量油时使用非防爆灯具对油罐内情况照明</w:t>
            </w:r>
          </w:p>
        </w:tc>
        <w:tc>
          <w:tcPr>
            <w:tcW w:w="340" w:type="pct"/>
            <w:tcBorders>
              <w:top w:val="single" w:color="000000" w:sz="2" w:space="0"/>
              <w:bottom w:val="single" w:color="000000" w:sz="2" w:space="0"/>
            </w:tcBorders>
            <w:vAlign w:val="center"/>
          </w:tcPr>
          <w:p w14:paraId="3BF564AB">
            <w:pPr>
              <w:bidi w:val="0"/>
              <w:jc w:val="center"/>
            </w:pPr>
            <w:r>
              <w:t>1</w:t>
            </w:r>
          </w:p>
        </w:tc>
        <w:tc>
          <w:tcPr>
            <w:tcW w:w="340" w:type="pct"/>
            <w:tcBorders>
              <w:top w:val="single" w:color="000000" w:sz="2" w:space="0"/>
              <w:bottom w:val="single" w:color="000000" w:sz="2" w:space="0"/>
            </w:tcBorders>
            <w:vAlign w:val="center"/>
          </w:tcPr>
          <w:p w14:paraId="29887F64">
            <w:pPr>
              <w:bidi w:val="0"/>
              <w:jc w:val="center"/>
            </w:pPr>
            <w:r>
              <w:t>6</w:t>
            </w:r>
          </w:p>
        </w:tc>
        <w:tc>
          <w:tcPr>
            <w:tcW w:w="340" w:type="pct"/>
            <w:tcBorders>
              <w:top w:val="single" w:color="000000" w:sz="2" w:space="0"/>
              <w:bottom w:val="single" w:color="000000" w:sz="2" w:space="0"/>
            </w:tcBorders>
            <w:vAlign w:val="center"/>
          </w:tcPr>
          <w:p w14:paraId="3A9BEC2A">
            <w:pPr>
              <w:bidi w:val="0"/>
              <w:jc w:val="center"/>
            </w:pPr>
            <w:r>
              <w:t>15</w:t>
            </w:r>
          </w:p>
        </w:tc>
        <w:tc>
          <w:tcPr>
            <w:tcW w:w="422" w:type="pct"/>
            <w:tcBorders>
              <w:top w:val="single" w:color="000000" w:sz="2" w:space="0"/>
              <w:bottom w:val="single" w:color="000000" w:sz="2" w:space="0"/>
            </w:tcBorders>
            <w:vAlign w:val="center"/>
          </w:tcPr>
          <w:p w14:paraId="6C7A2A7A">
            <w:pPr>
              <w:bidi w:val="0"/>
              <w:jc w:val="center"/>
            </w:pPr>
            <w:r>
              <w:t>90</w:t>
            </w:r>
          </w:p>
        </w:tc>
        <w:tc>
          <w:tcPr>
            <w:tcW w:w="414" w:type="pct"/>
            <w:tcBorders>
              <w:top w:val="single" w:color="000000" w:sz="2" w:space="0"/>
              <w:bottom w:val="single" w:color="000000" w:sz="2" w:space="0"/>
            </w:tcBorders>
            <w:vAlign w:val="center"/>
          </w:tcPr>
          <w:p w14:paraId="29FF6042">
            <w:pPr>
              <w:bidi w:val="0"/>
              <w:jc w:val="center"/>
            </w:pPr>
            <w:r>
              <w:t>Ⅲ</w:t>
            </w:r>
          </w:p>
        </w:tc>
        <w:tc>
          <w:tcPr>
            <w:tcW w:w="648" w:type="pct"/>
            <w:tcBorders>
              <w:top w:val="single" w:color="000000" w:sz="2" w:space="0"/>
              <w:bottom w:val="single" w:color="000000" w:sz="2" w:space="0"/>
            </w:tcBorders>
            <w:vAlign w:val="center"/>
          </w:tcPr>
          <w:p w14:paraId="69B21BC2">
            <w:pPr>
              <w:bidi w:val="0"/>
              <w:jc w:val="center"/>
            </w:pPr>
            <w:r>
              <w:t>一般风险</w:t>
            </w:r>
          </w:p>
        </w:tc>
        <w:tc>
          <w:tcPr>
            <w:tcW w:w="412" w:type="pct"/>
            <w:tcBorders>
              <w:top w:val="single" w:color="000000" w:sz="2" w:space="0"/>
              <w:bottom w:val="single" w:color="000000" w:sz="2" w:space="0"/>
            </w:tcBorders>
            <w:vAlign w:val="center"/>
          </w:tcPr>
          <w:p w14:paraId="16EE55F9">
            <w:pPr>
              <w:bidi w:val="0"/>
              <w:jc w:val="center"/>
            </w:pPr>
            <w:r>
              <w:t>黄色</w:t>
            </w:r>
          </w:p>
        </w:tc>
      </w:tr>
      <w:tr w14:paraId="4DAD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9E19278">
            <w:pPr>
              <w:bidi w:val="0"/>
              <w:jc w:val="center"/>
            </w:pPr>
          </w:p>
        </w:tc>
        <w:tc>
          <w:tcPr>
            <w:tcW w:w="1646" w:type="pct"/>
            <w:gridSpan w:val="2"/>
            <w:tcBorders>
              <w:top w:val="single" w:color="000000" w:sz="2" w:space="0"/>
              <w:bottom w:val="single" w:color="000000" w:sz="2" w:space="0"/>
            </w:tcBorders>
            <w:vAlign w:val="center"/>
          </w:tcPr>
          <w:p w14:paraId="39E3D014">
            <w:pPr>
              <w:bidi w:val="0"/>
              <w:jc w:val="center"/>
            </w:pPr>
            <w:r>
              <w:t>量油时吸烟</w:t>
            </w:r>
          </w:p>
        </w:tc>
        <w:tc>
          <w:tcPr>
            <w:tcW w:w="340" w:type="pct"/>
            <w:tcBorders>
              <w:top w:val="single" w:color="000000" w:sz="2" w:space="0"/>
              <w:bottom w:val="single" w:color="000000" w:sz="2" w:space="0"/>
            </w:tcBorders>
            <w:vAlign w:val="center"/>
          </w:tcPr>
          <w:p w14:paraId="2B1135FF">
            <w:pPr>
              <w:bidi w:val="0"/>
              <w:jc w:val="center"/>
            </w:pPr>
            <w:r>
              <w:t>1</w:t>
            </w:r>
          </w:p>
        </w:tc>
        <w:tc>
          <w:tcPr>
            <w:tcW w:w="340" w:type="pct"/>
            <w:tcBorders>
              <w:top w:val="single" w:color="000000" w:sz="2" w:space="0"/>
              <w:bottom w:val="single" w:color="000000" w:sz="2" w:space="0"/>
            </w:tcBorders>
            <w:vAlign w:val="center"/>
          </w:tcPr>
          <w:p w14:paraId="100658F0">
            <w:pPr>
              <w:bidi w:val="0"/>
              <w:jc w:val="center"/>
            </w:pPr>
            <w:r>
              <w:t>6</w:t>
            </w:r>
          </w:p>
        </w:tc>
        <w:tc>
          <w:tcPr>
            <w:tcW w:w="340" w:type="pct"/>
            <w:tcBorders>
              <w:top w:val="single" w:color="000000" w:sz="2" w:space="0"/>
              <w:bottom w:val="single" w:color="000000" w:sz="2" w:space="0"/>
            </w:tcBorders>
            <w:vAlign w:val="center"/>
          </w:tcPr>
          <w:p w14:paraId="67854531">
            <w:pPr>
              <w:bidi w:val="0"/>
              <w:jc w:val="center"/>
            </w:pPr>
            <w:r>
              <w:t>15</w:t>
            </w:r>
          </w:p>
        </w:tc>
        <w:tc>
          <w:tcPr>
            <w:tcW w:w="422" w:type="pct"/>
            <w:tcBorders>
              <w:top w:val="single" w:color="000000" w:sz="2" w:space="0"/>
              <w:bottom w:val="single" w:color="000000" w:sz="2" w:space="0"/>
            </w:tcBorders>
            <w:vAlign w:val="center"/>
          </w:tcPr>
          <w:p w14:paraId="1830CA17">
            <w:pPr>
              <w:bidi w:val="0"/>
              <w:jc w:val="center"/>
            </w:pPr>
            <w:r>
              <w:t>90</w:t>
            </w:r>
          </w:p>
        </w:tc>
        <w:tc>
          <w:tcPr>
            <w:tcW w:w="414" w:type="pct"/>
            <w:tcBorders>
              <w:top w:val="single" w:color="000000" w:sz="2" w:space="0"/>
              <w:bottom w:val="single" w:color="000000" w:sz="2" w:space="0"/>
            </w:tcBorders>
            <w:vAlign w:val="center"/>
          </w:tcPr>
          <w:p w14:paraId="09C21D97">
            <w:pPr>
              <w:bidi w:val="0"/>
              <w:jc w:val="center"/>
            </w:pPr>
            <w:r>
              <w:t>Ⅲ</w:t>
            </w:r>
          </w:p>
        </w:tc>
        <w:tc>
          <w:tcPr>
            <w:tcW w:w="648" w:type="pct"/>
            <w:tcBorders>
              <w:top w:val="single" w:color="000000" w:sz="2" w:space="0"/>
              <w:bottom w:val="single" w:color="000000" w:sz="2" w:space="0"/>
            </w:tcBorders>
            <w:vAlign w:val="center"/>
          </w:tcPr>
          <w:p w14:paraId="0C93C098">
            <w:pPr>
              <w:bidi w:val="0"/>
              <w:jc w:val="center"/>
            </w:pPr>
            <w:r>
              <w:t>一般风险</w:t>
            </w:r>
          </w:p>
        </w:tc>
        <w:tc>
          <w:tcPr>
            <w:tcW w:w="412" w:type="pct"/>
            <w:tcBorders>
              <w:top w:val="single" w:color="000000" w:sz="2" w:space="0"/>
              <w:bottom w:val="single" w:color="000000" w:sz="2" w:space="0"/>
            </w:tcBorders>
            <w:vAlign w:val="center"/>
          </w:tcPr>
          <w:p w14:paraId="30A8ECB1">
            <w:pPr>
              <w:bidi w:val="0"/>
              <w:jc w:val="center"/>
            </w:pPr>
            <w:r>
              <w:t>黄色</w:t>
            </w:r>
          </w:p>
        </w:tc>
      </w:tr>
      <w:tr w14:paraId="639EF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top w:val="single" w:color="000000" w:sz="2" w:space="0"/>
              <w:bottom w:val="single" w:color="000000" w:sz="2" w:space="0"/>
            </w:tcBorders>
            <w:vAlign w:val="center"/>
          </w:tcPr>
          <w:p w14:paraId="05BCF1C3">
            <w:pPr>
              <w:bidi w:val="0"/>
              <w:jc w:val="center"/>
            </w:pPr>
            <w:r>
              <w:t>供配电</w:t>
            </w:r>
          </w:p>
        </w:tc>
        <w:tc>
          <w:tcPr>
            <w:tcW w:w="1646" w:type="pct"/>
            <w:gridSpan w:val="2"/>
            <w:tcBorders>
              <w:top w:val="single" w:color="000000" w:sz="2" w:space="0"/>
              <w:bottom w:val="single" w:color="000000" w:sz="2" w:space="0"/>
            </w:tcBorders>
            <w:vAlign w:val="center"/>
          </w:tcPr>
          <w:p w14:paraId="32B070EC">
            <w:pPr>
              <w:bidi w:val="0"/>
              <w:jc w:val="center"/>
            </w:pPr>
            <w:r>
              <w:t>在易燃易爆场所使用不防爆的电气设备</w:t>
            </w:r>
          </w:p>
        </w:tc>
        <w:tc>
          <w:tcPr>
            <w:tcW w:w="340" w:type="pct"/>
            <w:tcBorders>
              <w:top w:val="single" w:color="000000" w:sz="2" w:space="0"/>
              <w:bottom w:val="single" w:color="000000" w:sz="2" w:space="0"/>
            </w:tcBorders>
            <w:vAlign w:val="center"/>
          </w:tcPr>
          <w:p w14:paraId="1370911D">
            <w:pPr>
              <w:bidi w:val="0"/>
              <w:jc w:val="center"/>
            </w:pPr>
            <w:r>
              <w:t>0.5</w:t>
            </w:r>
          </w:p>
        </w:tc>
        <w:tc>
          <w:tcPr>
            <w:tcW w:w="340" w:type="pct"/>
            <w:tcBorders>
              <w:top w:val="single" w:color="000000" w:sz="2" w:space="0"/>
              <w:bottom w:val="single" w:color="000000" w:sz="2" w:space="0"/>
            </w:tcBorders>
            <w:vAlign w:val="center"/>
          </w:tcPr>
          <w:p w14:paraId="3AD631EB">
            <w:pPr>
              <w:bidi w:val="0"/>
              <w:jc w:val="center"/>
            </w:pPr>
            <w:r>
              <w:t>6</w:t>
            </w:r>
          </w:p>
        </w:tc>
        <w:tc>
          <w:tcPr>
            <w:tcW w:w="340" w:type="pct"/>
            <w:tcBorders>
              <w:top w:val="single" w:color="000000" w:sz="2" w:space="0"/>
              <w:bottom w:val="single" w:color="000000" w:sz="2" w:space="0"/>
            </w:tcBorders>
            <w:vAlign w:val="center"/>
          </w:tcPr>
          <w:p w14:paraId="6D2B2FD6">
            <w:pPr>
              <w:bidi w:val="0"/>
              <w:jc w:val="center"/>
            </w:pPr>
            <w:r>
              <w:t>40</w:t>
            </w:r>
          </w:p>
        </w:tc>
        <w:tc>
          <w:tcPr>
            <w:tcW w:w="422" w:type="pct"/>
            <w:tcBorders>
              <w:top w:val="single" w:color="000000" w:sz="2" w:space="0"/>
              <w:bottom w:val="single" w:color="000000" w:sz="2" w:space="0"/>
            </w:tcBorders>
            <w:vAlign w:val="center"/>
          </w:tcPr>
          <w:p w14:paraId="6425FF8A">
            <w:pPr>
              <w:bidi w:val="0"/>
              <w:jc w:val="center"/>
            </w:pPr>
            <w:r>
              <w:t>120</w:t>
            </w:r>
          </w:p>
        </w:tc>
        <w:tc>
          <w:tcPr>
            <w:tcW w:w="414" w:type="pct"/>
            <w:tcBorders>
              <w:top w:val="single" w:color="000000" w:sz="2" w:space="0"/>
              <w:bottom w:val="single" w:color="000000" w:sz="2" w:space="0"/>
            </w:tcBorders>
            <w:vAlign w:val="center"/>
          </w:tcPr>
          <w:p w14:paraId="7C71B484">
            <w:pPr>
              <w:bidi w:val="0"/>
              <w:jc w:val="center"/>
            </w:pPr>
            <w:r>
              <w:t>Ⅲ</w:t>
            </w:r>
          </w:p>
        </w:tc>
        <w:tc>
          <w:tcPr>
            <w:tcW w:w="648" w:type="pct"/>
            <w:tcBorders>
              <w:top w:val="single" w:color="000000" w:sz="2" w:space="0"/>
              <w:bottom w:val="single" w:color="000000" w:sz="2" w:space="0"/>
            </w:tcBorders>
            <w:vAlign w:val="center"/>
          </w:tcPr>
          <w:p w14:paraId="3A243BA4">
            <w:pPr>
              <w:bidi w:val="0"/>
              <w:jc w:val="center"/>
            </w:pPr>
            <w:r>
              <w:t>一般风险</w:t>
            </w:r>
          </w:p>
        </w:tc>
        <w:tc>
          <w:tcPr>
            <w:tcW w:w="412" w:type="pct"/>
            <w:tcBorders>
              <w:top w:val="single" w:color="000000" w:sz="2" w:space="0"/>
              <w:bottom w:val="single" w:color="000000" w:sz="2" w:space="0"/>
            </w:tcBorders>
            <w:vAlign w:val="center"/>
          </w:tcPr>
          <w:p w14:paraId="37F853A9">
            <w:pPr>
              <w:bidi w:val="0"/>
              <w:jc w:val="center"/>
            </w:pPr>
            <w:r>
              <w:t>黄色</w:t>
            </w:r>
          </w:p>
        </w:tc>
      </w:tr>
      <w:tr w14:paraId="3844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473A41D1">
            <w:pPr>
              <w:bidi w:val="0"/>
              <w:jc w:val="center"/>
            </w:pPr>
          </w:p>
        </w:tc>
        <w:tc>
          <w:tcPr>
            <w:tcW w:w="1646" w:type="pct"/>
            <w:gridSpan w:val="2"/>
            <w:tcBorders>
              <w:top w:val="single" w:color="000000" w:sz="2" w:space="0"/>
              <w:bottom w:val="single" w:color="000000" w:sz="2" w:space="0"/>
            </w:tcBorders>
            <w:vAlign w:val="center"/>
          </w:tcPr>
          <w:p w14:paraId="38A44C47">
            <w:pPr>
              <w:bidi w:val="0"/>
              <w:jc w:val="center"/>
            </w:pPr>
            <w:r>
              <w:t>电气线路、设备老化，缺少维护、保养</w:t>
            </w:r>
          </w:p>
        </w:tc>
        <w:tc>
          <w:tcPr>
            <w:tcW w:w="340" w:type="pct"/>
            <w:tcBorders>
              <w:top w:val="single" w:color="000000" w:sz="2" w:space="0"/>
              <w:bottom w:val="single" w:color="000000" w:sz="2" w:space="0"/>
            </w:tcBorders>
            <w:vAlign w:val="center"/>
          </w:tcPr>
          <w:p w14:paraId="5006F476">
            <w:pPr>
              <w:bidi w:val="0"/>
              <w:jc w:val="center"/>
            </w:pPr>
            <w:r>
              <w:t>3</w:t>
            </w:r>
          </w:p>
        </w:tc>
        <w:tc>
          <w:tcPr>
            <w:tcW w:w="340" w:type="pct"/>
            <w:tcBorders>
              <w:top w:val="single" w:color="000000" w:sz="2" w:space="0"/>
              <w:bottom w:val="single" w:color="000000" w:sz="2" w:space="0"/>
            </w:tcBorders>
            <w:vAlign w:val="center"/>
          </w:tcPr>
          <w:p w14:paraId="51EE0186">
            <w:pPr>
              <w:bidi w:val="0"/>
              <w:jc w:val="center"/>
            </w:pPr>
            <w:r>
              <w:t>6</w:t>
            </w:r>
          </w:p>
        </w:tc>
        <w:tc>
          <w:tcPr>
            <w:tcW w:w="340" w:type="pct"/>
            <w:tcBorders>
              <w:top w:val="single" w:color="000000" w:sz="2" w:space="0"/>
              <w:bottom w:val="single" w:color="000000" w:sz="2" w:space="0"/>
            </w:tcBorders>
            <w:vAlign w:val="center"/>
          </w:tcPr>
          <w:p w14:paraId="170B4470">
            <w:pPr>
              <w:bidi w:val="0"/>
              <w:jc w:val="center"/>
            </w:pPr>
            <w:r>
              <w:t>7</w:t>
            </w:r>
          </w:p>
        </w:tc>
        <w:tc>
          <w:tcPr>
            <w:tcW w:w="422" w:type="pct"/>
            <w:tcBorders>
              <w:top w:val="single" w:color="000000" w:sz="2" w:space="0"/>
              <w:bottom w:val="single" w:color="000000" w:sz="2" w:space="0"/>
            </w:tcBorders>
            <w:vAlign w:val="center"/>
          </w:tcPr>
          <w:p w14:paraId="0C4A1208">
            <w:pPr>
              <w:bidi w:val="0"/>
              <w:jc w:val="center"/>
            </w:pPr>
            <w:r>
              <w:t>126</w:t>
            </w:r>
          </w:p>
        </w:tc>
        <w:tc>
          <w:tcPr>
            <w:tcW w:w="414" w:type="pct"/>
            <w:tcBorders>
              <w:top w:val="single" w:color="000000" w:sz="2" w:space="0"/>
              <w:bottom w:val="single" w:color="000000" w:sz="2" w:space="0"/>
            </w:tcBorders>
            <w:vAlign w:val="center"/>
          </w:tcPr>
          <w:p w14:paraId="17873264">
            <w:pPr>
              <w:bidi w:val="0"/>
              <w:jc w:val="center"/>
            </w:pPr>
            <w:r>
              <w:t>Ⅲ</w:t>
            </w:r>
          </w:p>
        </w:tc>
        <w:tc>
          <w:tcPr>
            <w:tcW w:w="648" w:type="pct"/>
            <w:tcBorders>
              <w:top w:val="single" w:color="000000" w:sz="2" w:space="0"/>
              <w:bottom w:val="single" w:color="000000" w:sz="2" w:space="0"/>
            </w:tcBorders>
            <w:vAlign w:val="center"/>
          </w:tcPr>
          <w:p w14:paraId="5A7C58AE">
            <w:pPr>
              <w:bidi w:val="0"/>
              <w:jc w:val="center"/>
            </w:pPr>
            <w:r>
              <w:t>一般风险</w:t>
            </w:r>
          </w:p>
        </w:tc>
        <w:tc>
          <w:tcPr>
            <w:tcW w:w="412" w:type="pct"/>
            <w:tcBorders>
              <w:top w:val="single" w:color="000000" w:sz="2" w:space="0"/>
              <w:bottom w:val="single" w:color="000000" w:sz="2" w:space="0"/>
            </w:tcBorders>
            <w:vAlign w:val="center"/>
          </w:tcPr>
          <w:p w14:paraId="17C4A6A4">
            <w:pPr>
              <w:bidi w:val="0"/>
              <w:jc w:val="center"/>
            </w:pPr>
            <w:r>
              <w:t>黄色</w:t>
            </w:r>
          </w:p>
        </w:tc>
      </w:tr>
      <w:tr w14:paraId="712F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561E6F87">
            <w:pPr>
              <w:bidi w:val="0"/>
              <w:jc w:val="center"/>
            </w:pPr>
          </w:p>
        </w:tc>
        <w:tc>
          <w:tcPr>
            <w:tcW w:w="1646" w:type="pct"/>
            <w:gridSpan w:val="2"/>
            <w:tcBorders>
              <w:top w:val="single" w:color="000000" w:sz="2" w:space="0"/>
              <w:bottom w:val="single" w:color="000000" w:sz="2" w:space="0"/>
            </w:tcBorders>
            <w:vAlign w:val="center"/>
          </w:tcPr>
          <w:p w14:paraId="44DDC2BC">
            <w:pPr>
              <w:bidi w:val="0"/>
              <w:jc w:val="center"/>
            </w:pPr>
            <w:r>
              <w:t>电气设备未作接地处理或接地设施损坏、接触不良</w:t>
            </w:r>
          </w:p>
        </w:tc>
        <w:tc>
          <w:tcPr>
            <w:tcW w:w="340" w:type="pct"/>
            <w:tcBorders>
              <w:top w:val="single" w:color="000000" w:sz="2" w:space="0"/>
              <w:bottom w:val="single" w:color="000000" w:sz="2" w:space="0"/>
            </w:tcBorders>
            <w:vAlign w:val="center"/>
          </w:tcPr>
          <w:p w14:paraId="2616048C">
            <w:pPr>
              <w:bidi w:val="0"/>
              <w:jc w:val="center"/>
            </w:pPr>
            <w:r>
              <w:t>3</w:t>
            </w:r>
          </w:p>
        </w:tc>
        <w:tc>
          <w:tcPr>
            <w:tcW w:w="340" w:type="pct"/>
            <w:tcBorders>
              <w:top w:val="single" w:color="000000" w:sz="2" w:space="0"/>
              <w:bottom w:val="single" w:color="000000" w:sz="2" w:space="0"/>
            </w:tcBorders>
            <w:vAlign w:val="center"/>
          </w:tcPr>
          <w:p w14:paraId="2035E48A">
            <w:pPr>
              <w:bidi w:val="0"/>
              <w:jc w:val="center"/>
            </w:pPr>
            <w:r>
              <w:t>6</w:t>
            </w:r>
          </w:p>
        </w:tc>
        <w:tc>
          <w:tcPr>
            <w:tcW w:w="340" w:type="pct"/>
            <w:tcBorders>
              <w:top w:val="single" w:color="000000" w:sz="2" w:space="0"/>
              <w:bottom w:val="single" w:color="000000" w:sz="2" w:space="0"/>
            </w:tcBorders>
            <w:vAlign w:val="center"/>
          </w:tcPr>
          <w:p w14:paraId="5D53067C">
            <w:pPr>
              <w:bidi w:val="0"/>
              <w:jc w:val="center"/>
            </w:pPr>
            <w:r>
              <w:t>7</w:t>
            </w:r>
          </w:p>
        </w:tc>
        <w:tc>
          <w:tcPr>
            <w:tcW w:w="422" w:type="pct"/>
            <w:tcBorders>
              <w:top w:val="single" w:color="000000" w:sz="2" w:space="0"/>
              <w:bottom w:val="single" w:color="000000" w:sz="2" w:space="0"/>
            </w:tcBorders>
            <w:vAlign w:val="center"/>
          </w:tcPr>
          <w:p w14:paraId="0C316078">
            <w:pPr>
              <w:bidi w:val="0"/>
              <w:jc w:val="center"/>
            </w:pPr>
            <w:r>
              <w:t>126</w:t>
            </w:r>
          </w:p>
        </w:tc>
        <w:tc>
          <w:tcPr>
            <w:tcW w:w="414" w:type="pct"/>
            <w:tcBorders>
              <w:top w:val="single" w:color="000000" w:sz="2" w:space="0"/>
              <w:bottom w:val="single" w:color="000000" w:sz="2" w:space="0"/>
            </w:tcBorders>
            <w:vAlign w:val="center"/>
          </w:tcPr>
          <w:p w14:paraId="652BCB91">
            <w:pPr>
              <w:bidi w:val="0"/>
              <w:jc w:val="center"/>
            </w:pPr>
            <w:r>
              <w:t>Ⅲ</w:t>
            </w:r>
          </w:p>
        </w:tc>
        <w:tc>
          <w:tcPr>
            <w:tcW w:w="648" w:type="pct"/>
            <w:tcBorders>
              <w:top w:val="single" w:color="000000" w:sz="2" w:space="0"/>
              <w:bottom w:val="single" w:color="000000" w:sz="2" w:space="0"/>
            </w:tcBorders>
            <w:vAlign w:val="center"/>
          </w:tcPr>
          <w:p w14:paraId="59FC5190">
            <w:pPr>
              <w:bidi w:val="0"/>
              <w:jc w:val="center"/>
            </w:pPr>
            <w:r>
              <w:t>一般风险</w:t>
            </w:r>
          </w:p>
        </w:tc>
        <w:tc>
          <w:tcPr>
            <w:tcW w:w="412" w:type="pct"/>
            <w:tcBorders>
              <w:top w:val="single" w:color="000000" w:sz="2" w:space="0"/>
              <w:bottom w:val="single" w:color="000000" w:sz="2" w:space="0"/>
            </w:tcBorders>
            <w:vAlign w:val="center"/>
          </w:tcPr>
          <w:p w14:paraId="3144DCD4">
            <w:pPr>
              <w:bidi w:val="0"/>
              <w:jc w:val="center"/>
            </w:pPr>
            <w:r>
              <w:t>黄色</w:t>
            </w:r>
          </w:p>
        </w:tc>
      </w:tr>
      <w:tr w14:paraId="35721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0BBBD26C">
            <w:pPr>
              <w:bidi w:val="0"/>
              <w:jc w:val="center"/>
            </w:pPr>
          </w:p>
        </w:tc>
        <w:tc>
          <w:tcPr>
            <w:tcW w:w="1646" w:type="pct"/>
            <w:gridSpan w:val="2"/>
            <w:tcBorders>
              <w:top w:val="single" w:color="000000" w:sz="2" w:space="0"/>
              <w:bottom w:val="single" w:color="000000" w:sz="2" w:space="0"/>
            </w:tcBorders>
            <w:vAlign w:val="center"/>
          </w:tcPr>
          <w:p w14:paraId="29A148B8">
            <w:pPr>
              <w:bidi w:val="0"/>
              <w:jc w:val="center"/>
            </w:pPr>
            <w:r>
              <w:t>临时用电未审批，易燃易爆场所搭设临时电气线路</w:t>
            </w:r>
          </w:p>
        </w:tc>
        <w:tc>
          <w:tcPr>
            <w:tcW w:w="340" w:type="pct"/>
            <w:tcBorders>
              <w:top w:val="single" w:color="000000" w:sz="2" w:space="0"/>
              <w:bottom w:val="single" w:color="000000" w:sz="2" w:space="0"/>
            </w:tcBorders>
            <w:vAlign w:val="center"/>
          </w:tcPr>
          <w:p w14:paraId="7BCD3D12">
            <w:pPr>
              <w:bidi w:val="0"/>
              <w:jc w:val="center"/>
            </w:pPr>
            <w:r>
              <w:t>1</w:t>
            </w:r>
          </w:p>
        </w:tc>
        <w:tc>
          <w:tcPr>
            <w:tcW w:w="340" w:type="pct"/>
            <w:tcBorders>
              <w:top w:val="single" w:color="000000" w:sz="2" w:space="0"/>
              <w:bottom w:val="single" w:color="000000" w:sz="2" w:space="0"/>
            </w:tcBorders>
            <w:vAlign w:val="center"/>
          </w:tcPr>
          <w:p w14:paraId="64769F2D">
            <w:pPr>
              <w:bidi w:val="0"/>
              <w:jc w:val="center"/>
            </w:pPr>
            <w:r>
              <w:t>6</w:t>
            </w:r>
          </w:p>
        </w:tc>
        <w:tc>
          <w:tcPr>
            <w:tcW w:w="340" w:type="pct"/>
            <w:tcBorders>
              <w:top w:val="single" w:color="000000" w:sz="2" w:space="0"/>
              <w:bottom w:val="single" w:color="000000" w:sz="2" w:space="0"/>
            </w:tcBorders>
            <w:vAlign w:val="center"/>
          </w:tcPr>
          <w:p w14:paraId="7F6D01A6">
            <w:pPr>
              <w:bidi w:val="0"/>
              <w:jc w:val="center"/>
            </w:pPr>
            <w:r>
              <w:t>15</w:t>
            </w:r>
          </w:p>
        </w:tc>
        <w:tc>
          <w:tcPr>
            <w:tcW w:w="422" w:type="pct"/>
            <w:tcBorders>
              <w:top w:val="single" w:color="000000" w:sz="2" w:space="0"/>
              <w:bottom w:val="single" w:color="000000" w:sz="2" w:space="0"/>
            </w:tcBorders>
            <w:vAlign w:val="center"/>
          </w:tcPr>
          <w:p w14:paraId="29CCF7F8">
            <w:pPr>
              <w:bidi w:val="0"/>
              <w:jc w:val="center"/>
            </w:pPr>
            <w:r>
              <w:t>90</w:t>
            </w:r>
          </w:p>
        </w:tc>
        <w:tc>
          <w:tcPr>
            <w:tcW w:w="414" w:type="pct"/>
            <w:tcBorders>
              <w:top w:val="single" w:color="000000" w:sz="2" w:space="0"/>
              <w:bottom w:val="single" w:color="000000" w:sz="2" w:space="0"/>
            </w:tcBorders>
            <w:vAlign w:val="center"/>
          </w:tcPr>
          <w:p w14:paraId="1A50A8A1">
            <w:pPr>
              <w:bidi w:val="0"/>
              <w:jc w:val="center"/>
            </w:pPr>
            <w:r>
              <w:t>Ⅲ</w:t>
            </w:r>
          </w:p>
        </w:tc>
        <w:tc>
          <w:tcPr>
            <w:tcW w:w="648" w:type="pct"/>
            <w:tcBorders>
              <w:top w:val="single" w:color="000000" w:sz="2" w:space="0"/>
              <w:bottom w:val="single" w:color="000000" w:sz="2" w:space="0"/>
            </w:tcBorders>
            <w:vAlign w:val="center"/>
          </w:tcPr>
          <w:p w14:paraId="7DD6D204">
            <w:pPr>
              <w:bidi w:val="0"/>
              <w:jc w:val="center"/>
            </w:pPr>
            <w:r>
              <w:t>一般风险</w:t>
            </w:r>
          </w:p>
        </w:tc>
        <w:tc>
          <w:tcPr>
            <w:tcW w:w="412" w:type="pct"/>
            <w:tcBorders>
              <w:top w:val="single" w:color="000000" w:sz="2" w:space="0"/>
              <w:bottom w:val="single" w:color="000000" w:sz="2" w:space="0"/>
            </w:tcBorders>
            <w:vAlign w:val="center"/>
          </w:tcPr>
          <w:p w14:paraId="05753AC3">
            <w:pPr>
              <w:bidi w:val="0"/>
              <w:jc w:val="center"/>
            </w:pPr>
            <w:r>
              <w:t>黄色</w:t>
            </w:r>
          </w:p>
        </w:tc>
      </w:tr>
      <w:tr w14:paraId="07B1D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6570362B">
            <w:pPr>
              <w:bidi w:val="0"/>
              <w:jc w:val="center"/>
            </w:pPr>
          </w:p>
        </w:tc>
        <w:tc>
          <w:tcPr>
            <w:tcW w:w="1646" w:type="pct"/>
            <w:gridSpan w:val="2"/>
            <w:tcBorders>
              <w:top w:val="single" w:color="000000" w:sz="2" w:space="0"/>
              <w:bottom w:val="single" w:color="000000" w:sz="2" w:space="0"/>
            </w:tcBorders>
            <w:vAlign w:val="center"/>
          </w:tcPr>
          <w:p w14:paraId="33ED18A2">
            <w:pPr>
              <w:bidi w:val="0"/>
              <w:jc w:val="center"/>
            </w:pPr>
            <w:r>
              <w:t>生产经营场所、配电房未设应急照明灯</w:t>
            </w:r>
          </w:p>
        </w:tc>
        <w:tc>
          <w:tcPr>
            <w:tcW w:w="340" w:type="pct"/>
            <w:tcBorders>
              <w:top w:val="single" w:color="000000" w:sz="2" w:space="0"/>
              <w:bottom w:val="single" w:color="000000" w:sz="2" w:space="0"/>
            </w:tcBorders>
            <w:vAlign w:val="center"/>
          </w:tcPr>
          <w:p w14:paraId="0AC04381">
            <w:pPr>
              <w:bidi w:val="0"/>
              <w:jc w:val="center"/>
            </w:pPr>
            <w:r>
              <w:t>1</w:t>
            </w:r>
          </w:p>
        </w:tc>
        <w:tc>
          <w:tcPr>
            <w:tcW w:w="340" w:type="pct"/>
            <w:tcBorders>
              <w:top w:val="single" w:color="000000" w:sz="2" w:space="0"/>
              <w:bottom w:val="single" w:color="000000" w:sz="2" w:space="0"/>
            </w:tcBorders>
            <w:vAlign w:val="center"/>
          </w:tcPr>
          <w:p w14:paraId="3DFE8F29">
            <w:pPr>
              <w:bidi w:val="0"/>
              <w:jc w:val="center"/>
            </w:pPr>
            <w:r>
              <w:t>6</w:t>
            </w:r>
          </w:p>
        </w:tc>
        <w:tc>
          <w:tcPr>
            <w:tcW w:w="340" w:type="pct"/>
            <w:tcBorders>
              <w:top w:val="single" w:color="000000" w:sz="2" w:space="0"/>
              <w:bottom w:val="single" w:color="000000" w:sz="2" w:space="0"/>
            </w:tcBorders>
            <w:vAlign w:val="center"/>
          </w:tcPr>
          <w:p w14:paraId="13FBD2DF">
            <w:pPr>
              <w:bidi w:val="0"/>
              <w:jc w:val="center"/>
            </w:pPr>
            <w:r>
              <w:t>7</w:t>
            </w:r>
          </w:p>
        </w:tc>
        <w:tc>
          <w:tcPr>
            <w:tcW w:w="422" w:type="pct"/>
            <w:tcBorders>
              <w:top w:val="single" w:color="000000" w:sz="2" w:space="0"/>
              <w:bottom w:val="single" w:color="000000" w:sz="2" w:space="0"/>
            </w:tcBorders>
            <w:vAlign w:val="center"/>
          </w:tcPr>
          <w:p w14:paraId="1E2C6FF7">
            <w:pPr>
              <w:bidi w:val="0"/>
              <w:jc w:val="center"/>
            </w:pPr>
            <w:r>
              <w:t>42</w:t>
            </w:r>
          </w:p>
        </w:tc>
        <w:tc>
          <w:tcPr>
            <w:tcW w:w="414" w:type="pct"/>
            <w:tcBorders>
              <w:top w:val="single" w:color="000000" w:sz="2" w:space="0"/>
              <w:bottom w:val="single" w:color="000000" w:sz="2" w:space="0"/>
            </w:tcBorders>
            <w:vAlign w:val="center"/>
          </w:tcPr>
          <w:p w14:paraId="2501F095">
            <w:pPr>
              <w:bidi w:val="0"/>
              <w:jc w:val="center"/>
            </w:pPr>
            <w:r>
              <w:t>Ⅳ</w:t>
            </w:r>
          </w:p>
        </w:tc>
        <w:tc>
          <w:tcPr>
            <w:tcW w:w="648" w:type="pct"/>
            <w:tcBorders>
              <w:top w:val="single" w:color="000000" w:sz="2" w:space="0"/>
              <w:bottom w:val="single" w:color="000000" w:sz="2" w:space="0"/>
            </w:tcBorders>
            <w:vAlign w:val="center"/>
          </w:tcPr>
          <w:p w14:paraId="3CB0B012">
            <w:pPr>
              <w:bidi w:val="0"/>
              <w:jc w:val="center"/>
            </w:pPr>
            <w:r>
              <w:t>低风险</w:t>
            </w:r>
          </w:p>
        </w:tc>
        <w:tc>
          <w:tcPr>
            <w:tcW w:w="412" w:type="pct"/>
            <w:tcBorders>
              <w:top w:val="single" w:color="000000" w:sz="2" w:space="0"/>
              <w:bottom w:val="single" w:color="000000" w:sz="2" w:space="0"/>
            </w:tcBorders>
            <w:vAlign w:val="center"/>
          </w:tcPr>
          <w:p w14:paraId="3C977CD3">
            <w:pPr>
              <w:bidi w:val="0"/>
              <w:jc w:val="center"/>
            </w:pPr>
            <w:r>
              <w:t>蓝色</w:t>
            </w:r>
          </w:p>
        </w:tc>
      </w:tr>
      <w:tr w14:paraId="6A95E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restart"/>
            <w:tcBorders>
              <w:top w:val="single" w:color="000000" w:sz="2" w:space="0"/>
              <w:bottom w:val="single" w:color="000000" w:sz="2" w:space="0"/>
            </w:tcBorders>
            <w:vAlign w:val="center"/>
          </w:tcPr>
          <w:p w14:paraId="2F53209B">
            <w:pPr>
              <w:bidi w:val="0"/>
              <w:jc w:val="center"/>
            </w:pPr>
            <w:r>
              <w:t>检修</w:t>
            </w:r>
          </w:p>
          <w:p w14:paraId="3A46A1A7">
            <w:pPr>
              <w:bidi w:val="0"/>
              <w:jc w:val="center"/>
            </w:pPr>
            <w:r>
              <w:t>作业</w:t>
            </w:r>
          </w:p>
        </w:tc>
        <w:tc>
          <w:tcPr>
            <w:tcW w:w="1646" w:type="pct"/>
            <w:gridSpan w:val="2"/>
            <w:tcBorders>
              <w:top w:val="single" w:color="000000" w:sz="2" w:space="0"/>
              <w:bottom w:val="single" w:color="000000" w:sz="2" w:space="0"/>
            </w:tcBorders>
            <w:vAlign w:val="center"/>
          </w:tcPr>
          <w:p w14:paraId="679E291E">
            <w:pPr>
              <w:bidi w:val="0"/>
              <w:jc w:val="center"/>
            </w:pPr>
            <w:r>
              <w:t>有限空间作业：清洗油罐未进行置换，未按“先通风、再检测、后作业”执行，导致中毒事故。</w:t>
            </w:r>
          </w:p>
        </w:tc>
        <w:tc>
          <w:tcPr>
            <w:tcW w:w="340" w:type="pct"/>
            <w:tcBorders>
              <w:top w:val="single" w:color="000000" w:sz="2" w:space="0"/>
              <w:bottom w:val="single" w:color="000000" w:sz="2" w:space="0"/>
            </w:tcBorders>
            <w:vAlign w:val="center"/>
          </w:tcPr>
          <w:p w14:paraId="72E78D2D">
            <w:pPr>
              <w:bidi w:val="0"/>
              <w:jc w:val="center"/>
            </w:pPr>
          </w:p>
          <w:p w14:paraId="30BBCA3E">
            <w:pPr>
              <w:bidi w:val="0"/>
              <w:jc w:val="center"/>
            </w:pPr>
            <w:r>
              <w:t>10</w:t>
            </w:r>
          </w:p>
        </w:tc>
        <w:tc>
          <w:tcPr>
            <w:tcW w:w="340" w:type="pct"/>
            <w:tcBorders>
              <w:top w:val="single" w:color="000000" w:sz="2" w:space="0"/>
              <w:bottom w:val="single" w:color="000000" w:sz="2" w:space="0"/>
            </w:tcBorders>
            <w:vAlign w:val="center"/>
          </w:tcPr>
          <w:p w14:paraId="5020C490">
            <w:pPr>
              <w:bidi w:val="0"/>
              <w:jc w:val="center"/>
            </w:pPr>
          </w:p>
          <w:p w14:paraId="45CB097F">
            <w:pPr>
              <w:bidi w:val="0"/>
              <w:jc w:val="center"/>
            </w:pPr>
            <w:r>
              <w:t>10</w:t>
            </w:r>
          </w:p>
        </w:tc>
        <w:tc>
          <w:tcPr>
            <w:tcW w:w="340" w:type="pct"/>
            <w:tcBorders>
              <w:top w:val="single" w:color="000000" w:sz="2" w:space="0"/>
              <w:bottom w:val="single" w:color="000000" w:sz="2" w:space="0"/>
            </w:tcBorders>
            <w:vAlign w:val="center"/>
          </w:tcPr>
          <w:p w14:paraId="0EF2FBDE">
            <w:pPr>
              <w:bidi w:val="0"/>
              <w:jc w:val="center"/>
            </w:pPr>
          </w:p>
          <w:p w14:paraId="26562C6A">
            <w:pPr>
              <w:bidi w:val="0"/>
              <w:jc w:val="center"/>
            </w:pPr>
            <w:r>
              <w:t>15</w:t>
            </w:r>
          </w:p>
        </w:tc>
        <w:tc>
          <w:tcPr>
            <w:tcW w:w="422" w:type="pct"/>
            <w:tcBorders>
              <w:top w:val="single" w:color="000000" w:sz="2" w:space="0"/>
              <w:bottom w:val="single" w:color="000000" w:sz="2" w:space="0"/>
            </w:tcBorders>
            <w:vAlign w:val="center"/>
          </w:tcPr>
          <w:p w14:paraId="1B72E266">
            <w:pPr>
              <w:bidi w:val="0"/>
              <w:jc w:val="center"/>
            </w:pPr>
          </w:p>
          <w:p w14:paraId="1FD3C026">
            <w:pPr>
              <w:bidi w:val="0"/>
              <w:jc w:val="center"/>
            </w:pPr>
            <w:r>
              <w:t>1500</w:t>
            </w:r>
          </w:p>
        </w:tc>
        <w:tc>
          <w:tcPr>
            <w:tcW w:w="414" w:type="pct"/>
            <w:tcBorders>
              <w:top w:val="single" w:color="000000" w:sz="2" w:space="0"/>
              <w:bottom w:val="single" w:color="000000" w:sz="2" w:space="0"/>
            </w:tcBorders>
            <w:vAlign w:val="center"/>
          </w:tcPr>
          <w:p w14:paraId="3E405C5F">
            <w:pPr>
              <w:bidi w:val="0"/>
              <w:jc w:val="center"/>
            </w:pPr>
          </w:p>
          <w:p w14:paraId="025075CD">
            <w:pPr>
              <w:bidi w:val="0"/>
              <w:jc w:val="center"/>
            </w:pPr>
            <w:r>
              <w:t>Ⅰ</w:t>
            </w:r>
          </w:p>
        </w:tc>
        <w:tc>
          <w:tcPr>
            <w:tcW w:w="648" w:type="pct"/>
            <w:tcBorders>
              <w:top w:val="single" w:color="000000" w:sz="2" w:space="0"/>
              <w:bottom w:val="single" w:color="000000" w:sz="2" w:space="0"/>
            </w:tcBorders>
            <w:vAlign w:val="center"/>
          </w:tcPr>
          <w:p w14:paraId="2021D1B9">
            <w:pPr>
              <w:bidi w:val="0"/>
              <w:jc w:val="center"/>
            </w:pPr>
          </w:p>
          <w:p w14:paraId="23B2E8BE">
            <w:pPr>
              <w:bidi w:val="0"/>
              <w:jc w:val="center"/>
            </w:pPr>
            <w:r>
              <w:t>重大风险</w:t>
            </w:r>
          </w:p>
        </w:tc>
        <w:tc>
          <w:tcPr>
            <w:tcW w:w="412" w:type="pct"/>
            <w:tcBorders>
              <w:top w:val="single" w:color="000000" w:sz="2" w:space="0"/>
              <w:bottom w:val="single" w:color="000000" w:sz="2" w:space="0"/>
            </w:tcBorders>
            <w:vAlign w:val="center"/>
          </w:tcPr>
          <w:p w14:paraId="663D566D">
            <w:pPr>
              <w:bidi w:val="0"/>
              <w:jc w:val="center"/>
            </w:pPr>
          </w:p>
          <w:p w14:paraId="57BF2CB1">
            <w:pPr>
              <w:bidi w:val="0"/>
              <w:jc w:val="center"/>
            </w:pPr>
            <w:r>
              <w:t>红色</w:t>
            </w:r>
          </w:p>
        </w:tc>
      </w:tr>
      <w:tr w14:paraId="4EC51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0F84D413">
            <w:pPr>
              <w:bidi w:val="0"/>
              <w:jc w:val="center"/>
            </w:pPr>
          </w:p>
        </w:tc>
        <w:tc>
          <w:tcPr>
            <w:tcW w:w="289" w:type="pct"/>
            <w:vMerge w:val="restart"/>
            <w:tcBorders>
              <w:top w:val="single" w:color="000000" w:sz="2" w:space="0"/>
              <w:bottom w:val="single" w:color="000000" w:sz="2" w:space="0"/>
            </w:tcBorders>
            <w:textDirection w:val="tbRlV"/>
            <w:vAlign w:val="center"/>
          </w:tcPr>
          <w:p w14:paraId="1F78D120">
            <w:pPr>
              <w:bidi w:val="0"/>
              <w:jc w:val="center"/>
            </w:pPr>
            <w:r>
              <w:t>动火作业</w:t>
            </w:r>
          </w:p>
        </w:tc>
        <w:tc>
          <w:tcPr>
            <w:tcW w:w="1357" w:type="pct"/>
            <w:tcBorders>
              <w:top w:val="single" w:color="000000" w:sz="2" w:space="0"/>
              <w:bottom w:val="single" w:color="000000" w:sz="2" w:space="0"/>
            </w:tcBorders>
            <w:vAlign w:val="center"/>
          </w:tcPr>
          <w:p w14:paraId="6DC37209">
            <w:pPr>
              <w:bidi w:val="0"/>
              <w:jc w:val="center"/>
            </w:pPr>
            <w:r>
              <w:t>在油罐上进行动火作业时，未进行置换、检测。</w:t>
            </w:r>
          </w:p>
        </w:tc>
        <w:tc>
          <w:tcPr>
            <w:tcW w:w="340" w:type="pct"/>
            <w:tcBorders>
              <w:top w:val="single" w:color="000000" w:sz="2" w:space="0"/>
              <w:bottom w:val="single" w:color="000000" w:sz="2" w:space="0"/>
            </w:tcBorders>
            <w:vAlign w:val="center"/>
          </w:tcPr>
          <w:p w14:paraId="187CCAAC">
            <w:pPr>
              <w:bidi w:val="0"/>
              <w:jc w:val="center"/>
            </w:pPr>
            <w:r>
              <w:t>6</w:t>
            </w:r>
          </w:p>
        </w:tc>
        <w:tc>
          <w:tcPr>
            <w:tcW w:w="340" w:type="pct"/>
            <w:tcBorders>
              <w:top w:val="single" w:color="000000" w:sz="2" w:space="0"/>
              <w:bottom w:val="single" w:color="000000" w:sz="2" w:space="0"/>
            </w:tcBorders>
            <w:vAlign w:val="center"/>
          </w:tcPr>
          <w:p w14:paraId="62A6A4CE">
            <w:pPr>
              <w:bidi w:val="0"/>
              <w:jc w:val="center"/>
            </w:pPr>
            <w:r>
              <w:t>10</w:t>
            </w:r>
          </w:p>
        </w:tc>
        <w:tc>
          <w:tcPr>
            <w:tcW w:w="340" w:type="pct"/>
            <w:tcBorders>
              <w:top w:val="single" w:color="000000" w:sz="2" w:space="0"/>
              <w:bottom w:val="single" w:color="000000" w:sz="2" w:space="0"/>
            </w:tcBorders>
            <w:vAlign w:val="center"/>
          </w:tcPr>
          <w:p w14:paraId="5A7320E2">
            <w:pPr>
              <w:bidi w:val="0"/>
              <w:jc w:val="center"/>
            </w:pPr>
            <w:r>
              <w:t>15</w:t>
            </w:r>
          </w:p>
        </w:tc>
        <w:tc>
          <w:tcPr>
            <w:tcW w:w="422" w:type="pct"/>
            <w:tcBorders>
              <w:top w:val="single" w:color="000000" w:sz="2" w:space="0"/>
              <w:bottom w:val="single" w:color="000000" w:sz="2" w:space="0"/>
            </w:tcBorders>
            <w:vAlign w:val="center"/>
          </w:tcPr>
          <w:p w14:paraId="24F289B3">
            <w:pPr>
              <w:bidi w:val="0"/>
              <w:jc w:val="center"/>
            </w:pPr>
            <w:r>
              <w:t>900</w:t>
            </w:r>
          </w:p>
        </w:tc>
        <w:tc>
          <w:tcPr>
            <w:tcW w:w="414" w:type="pct"/>
            <w:tcBorders>
              <w:top w:val="single" w:color="000000" w:sz="2" w:space="0"/>
              <w:bottom w:val="single" w:color="000000" w:sz="2" w:space="0"/>
            </w:tcBorders>
            <w:vAlign w:val="center"/>
          </w:tcPr>
          <w:p w14:paraId="6CAF52B3">
            <w:pPr>
              <w:bidi w:val="0"/>
              <w:jc w:val="center"/>
            </w:pPr>
            <w:r>
              <w:t>Ⅰ</w:t>
            </w:r>
          </w:p>
        </w:tc>
        <w:tc>
          <w:tcPr>
            <w:tcW w:w="648" w:type="pct"/>
            <w:tcBorders>
              <w:top w:val="single" w:color="000000" w:sz="2" w:space="0"/>
              <w:bottom w:val="single" w:color="000000" w:sz="2" w:space="0"/>
            </w:tcBorders>
            <w:vAlign w:val="center"/>
          </w:tcPr>
          <w:p w14:paraId="4F8A048D">
            <w:pPr>
              <w:bidi w:val="0"/>
              <w:jc w:val="center"/>
            </w:pPr>
            <w:r>
              <w:t>重大风险</w:t>
            </w:r>
          </w:p>
        </w:tc>
        <w:tc>
          <w:tcPr>
            <w:tcW w:w="412" w:type="pct"/>
            <w:tcBorders>
              <w:top w:val="single" w:color="000000" w:sz="2" w:space="0"/>
              <w:bottom w:val="single" w:color="000000" w:sz="2" w:space="0"/>
            </w:tcBorders>
            <w:vAlign w:val="center"/>
          </w:tcPr>
          <w:p w14:paraId="75826C42">
            <w:pPr>
              <w:bidi w:val="0"/>
              <w:jc w:val="center"/>
            </w:pPr>
            <w:r>
              <w:t>红色</w:t>
            </w:r>
          </w:p>
        </w:tc>
      </w:tr>
      <w:tr w14:paraId="2A94C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125F007C">
            <w:pPr>
              <w:bidi w:val="0"/>
              <w:jc w:val="center"/>
            </w:pPr>
          </w:p>
        </w:tc>
        <w:tc>
          <w:tcPr>
            <w:tcW w:w="289" w:type="pct"/>
            <w:vMerge w:val="continue"/>
            <w:tcBorders>
              <w:top w:val="single" w:color="000000" w:sz="2" w:space="0"/>
              <w:bottom w:val="single" w:color="000000" w:sz="2" w:space="0"/>
            </w:tcBorders>
            <w:textDirection w:val="tbRlV"/>
            <w:vAlign w:val="center"/>
          </w:tcPr>
          <w:p w14:paraId="24EF81A6">
            <w:pPr>
              <w:bidi w:val="0"/>
              <w:jc w:val="center"/>
            </w:pPr>
          </w:p>
        </w:tc>
        <w:tc>
          <w:tcPr>
            <w:tcW w:w="1357" w:type="pct"/>
            <w:tcBorders>
              <w:top w:val="single" w:color="000000" w:sz="2" w:space="0"/>
              <w:bottom w:val="single" w:color="000000" w:sz="2" w:space="0"/>
            </w:tcBorders>
            <w:vAlign w:val="center"/>
          </w:tcPr>
          <w:p w14:paraId="1140BB73">
            <w:pPr>
              <w:bidi w:val="0"/>
              <w:jc w:val="center"/>
            </w:pPr>
            <w:r>
              <w:t>在输油管道上动火，未进行置换检测。</w:t>
            </w:r>
          </w:p>
        </w:tc>
        <w:tc>
          <w:tcPr>
            <w:tcW w:w="340" w:type="pct"/>
            <w:tcBorders>
              <w:top w:val="single" w:color="000000" w:sz="2" w:space="0"/>
              <w:bottom w:val="single" w:color="000000" w:sz="2" w:space="0"/>
            </w:tcBorders>
            <w:vAlign w:val="center"/>
          </w:tcPr>
          <w:p w14:paraId="5BACEC44">
            <w:pPr>
              <w:bidi w:val="0"/>
              <w:jc w:val="center"/>
            </w:pPr>
            <w:r>
              <w:t>6</w:t>
            </w:r>
          </w:p>
        </w:tc>
        <w:tc>
          <w:tcPr>
            <w:tcW w:w="340" w:type="pct"/>
            <w:tcBorders>
              <w:top w:val="single" w:color="000000" w:sz="2" w:space="0"/>
              <w:bottom w:val="single" w:color="000000" w:sz="2" w:space="0"/>
            </w:tcBorders>
            <w:vAlign w:val="center"/>
          </w:tcPr>
          <w:p w14:paraId="12DF8147">
            <w:pPr>
              <w:bidi w:val="0"/>
              <w:jc w:val="center"/>
            </w:pPr>
            <w:r>
              <w:t>10</w:t>
            </w:r>
          </w:p>
        </w:tc>
        <w:tc>
          <w:tcPr>
            <w:tcW w:w="340" w:type="pct"/>
            <w:tcBorders>
              <w:top w:val="single" w:color="000000" w:sz="2" w:space="0"/>
              <w:bottom w:val="single" w:color="000000" w:sz="2" w:space="0"/>
            </w:tcBorders>
            <w:vAlign w:val="center"/>
          </w:tcPr>
          <w:p w14:paraId="27326676">
            <w:pPr>
              <w:bidi w:val="0"/>
              <w:jc w:val="center"/>
            </w:pPr>
            <w:r>
              <w:t>15</w:t>
            </w:r>
          </w:p>
        </w:tc>
        <w:tc>
          <w:tcPr>
            <w:tcW w:w="422" w:type="pct"/>
            <w:tcBorders>
              <w:top w:val="single" w:color="000000" w:sz="2" w:space="0"/>
              <w:bottom w:val="single" w:color="000000" w:sz="2" w:space="0"/>
            </w:tcBorders>
            <w:vAlign w:val="center"/>
          </w:tcPr>
          <w:p w14:paraId="176A2E2D">
            <w:pPr>
              <w:bidi w:val="0"/>
              <w:jc w:val="center"/>
            </w:pPr>
            <w:r>
              <w:t>900</w:t>
            </w:r>
          </w:p>
        </w:tc>
        <w:tc>
          <w:tcPr>
            <w:tcW w:w="414" w:type="pct"/>
            <w:tcBorders>
              <w:top w:val="single" w:color="000000" w:sz="2" w:space="0"/>
              <w:bottom w:val="single" w:color="000000" w:sz="2" w:space="0"/>
            </w:tcBorders>
            <w:vAlign w:val="center"/>
          </w:tcPr>
          <w:p w14:paraId="1AC349BF">
            <w:pPr>
              <w:bidi w:val="0"/>
              <w:jc w:val="center"/>
            </w:pPr>
            <w:r>
              <w:t>Ⅰ</w:t>
            </w:r>
          </w:p>
        </w:tc>
        <w:tc>
          <w:tcPr>
            <w:tcW w:w="648" w:type="pct"/>
            <w:tcBorders>
              <w:top w:val="single" w:color="000000" w:sz="2" w:space="0"/>
              <w:bottom w:val="single" w:color="000000" w:sz="2" w:space="0"/>
            </w:tcBorders>
            <w:vAlign w:val="center"/>
          </w:tcPr>
          <w:p w14:paraId="287D9228">
            <w:pPr>
              <w:bidi w:val="0"/>
              <w:jc w:val="center"/>
            </w:pPr>
            <w:r>
              <w:t>重大风险</w:t>
            </w:r>
          </w:p>
        </w:tc>
        <w:tc>
          <w:tcPr>
            <w:tcW w:w="412" w:type="pct"/>
            <w:tcBorders>
              <w:top w:val="single" w:color="000000" w:sz="2" w:space="0"/>
              <w:bottom w:val="single" w:color="000000" w:sz="2" w:space="0"/>
            </w:tcBorders>
            <w:vAlign w:val="center"/>
          </w:tcPr>
          <w:p w14:paraId="387795B2">
            <w:pPr>
              <w:bidi w:val="0"/>
              <w:jc w:val="center"/>
            </w:pPr>
            <w:r>
              <w:t>红色</w:t>
            </w:r>
          </w:p>
        </w:tc>
      </w:tr>
      <w:tr w14:paraId="4F0F6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683FF5BA">
            <w:pPr>
              <w:bidi w:val="0"/>
              <w:jc w:val="center"/>
            </w:pPr>
          </w:p>
        </w:tc>
        <w:tc>
          <w:tcPr>
            <w:tcW w:w="1646" w:type="pct"/>
            <w:gridSpan w:val="2"/>
            <w:tcBorders>
              <w:top w:val="single" w:color="000000" w:sz="2" w:space="0"/>
              <w:bottom w:val="single" w:color="000000" w:sz="2" w:space="0"/>
            </w:tcBorders>
            <w:vAlign w:val="center"/>
          </w:tcPr>
          <w:p w14:paraId="18E90A76">
            <w:pPr>
              <w:bidi w:val="0"/>
              <w:jc w:val="center"/>
            </w:pPr>
            <w:r>
              <w:t>高处作业：未系安全带</w:t>
            </w:r>
          </w:p>
        </w:tc>
        <w:tc>
          <w:tcPr>
            <w:tcW w:w="340" w:type="pct"/>
            <w:tcBorders>
              <w:top w:val="single" w:color="000000" w:sz="2" w:space="0"/>
              <w:bottom w:val="single" w:color="000000" w:sz="2" w:space="0"/>
            </w:tcBorders>
            <w:vAlign w:val="center"/>
          </w:tcPr>
          <w:p w14:paraId="191D0AD2">
            <w:pPr>
              <w:bidi w:val="0"/>
              <w:jc w:val="center"/>
            </w:pPr>
            <w:r>
              <w:t>10</w:t>
            </w:r>
          </w:p>
        </w:tc>
        <w:tc>
          <w:tcPr>
            <w:tcW w:w="340" w:type="pct"/>
            <w:tcBorders>
              <w:top w:val="single" w:color="000000" w:sz="2" w:space="0"/>
              <w:bottom w:val="single" w:color="000000" w:sz="2" w:space="0"/>
            </w:tcBorders>
            <w:vAlign w:val="center"/>
          </w:tcPr>
          <w:p w14:paraId="1CC540E0">
            <w:pPr>
              <w:bidi w:val="0"/>
              <w:jc w:val="center"/>
            </w:pPr>
            <w:r>
              <w:t>10</w:t>
            </w:r>
          </w:p>
        </w:tc>
        <w:tc>
          <w:tcPr>
            <w:tcW w:w="340" w:type="pct"/>
            <w:tcBorders>
              <w:top w:val="single" w:color="000000" w:sz="2" w:space="0"/>
              <w:bottom w:val="single" w:color="000000" w:sz="2" w:space="0"/>
            </w:tcBorders>
            <w:vAlign w:val="center"/>
          </w:tcPr>
          <w:p w14:paraId="0DBC177B">
            <w:pPr>
              <w:bidi w:val="0"/>
              <w:jc w:val="center"/>
            </w:pPr>
            <w:r>
              <w:t>7</w:t>
            </w:r>
          </w:p>
        </w:tc>
        <w:tc>
          <w:tcPr>
            <w:tcW w:w="422" w:type="pct"/>
            <w:tcBorders>
              <w:top w:val="single" w:color="000000" w:sz="2" w:space="0"/>
              <w:bottom w:val="single" w:color="000000" w:sz="2" w:space="0"/>
            </w:tcBorders>
            <w:vAlign w:val="center"/>
          </w:tcPr>
          <w:p w14:paraId="23DB2724">
            <w:pPr>
              <w:bidi w:val="0"/>
              <w:jc w:val="center"/>
            </w:pPr>
            <w:r>
              <w:t>700</w:t>
            </w:r>
          </w:p>
        </w:tc>
        <w:tc>
          <w:tcPr>
            <w:tcW w:w="414" w:type="pct"/>
            <w:tcBorders>
              <w:top w:val="single" w:color="000000" w:sz="2" w:space="0"/>
              <w:bottom w:val="single" w:color="000000" w:sz="2" w:space="0"/>
            </w:tcBorders>
            <w:vAlign w:val="center"/>
          </w:tcPr>
          <w:p w14:paraId="7276B8DE">
            <w:pPr>
              <w:bidi w:val="0"/>
              <w:jc w:val="center"/>
            </w:pPr>
            <w:r>
              <w:t>Ⅰ</w:t>
            </w:r>
          </w:p>
        </w:tc>
        <w:tc>
          <w:tcPr>
            <w:tcW w:w="648" w:type="pct"/>
            <w:tcBorders>
              <w:top w:val="single" w:color="000000" w:sz="2" w:space="0"/>
              <w:bottom w:val="single" w:color="000000" w:sz="2" w:space="0"/>
            </w:tcBorders>
            <w:vAlign w:val="center"/>
          </w:tcPr>
          <w:p w14:paraId="2978BC65">
            <w:pPr>
              <w:bidi w:val="0"/>
              <w:jc w:val="center"/>
            </w:pPr>
            <w:r>
              <w:t>重大风险</w:t>
            </w:r>
          </w:p>
        </w:tc>
        <w:tc>
          <w:tcPr>
            <w:tcW w:w="412" w:type="pct"/>
            <w:tcBorders>
              <w:top w:val="single" w:color="000000" w:sz="2" w:space="0"/>
              <w:bottom w:val="single" w:color="000000" w:sz="2" w:space="0"/>
            </w:tcBorders>
            <w:vAlign w:val="center"/>
          </w:tcPr>
          <w:p w14:paraId="2D70D74C">
            <w:pPr>
              <w:bidi w:val="0"/>
              <w:jc w:val="center"/>
            </w:pPr>
            <w:r>
              <w:t>红色</w:t>
            </w:r>
          </w:p>
        </w:tc>
      </w:tr>
      <w:tr w14:paraId="2D780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vMerge w:val="continue"/>
            <w:tcBorders>
              <w:top w:val="single" w:color="000000" w:sz="2" w:space="0"/>
              <w:bottom w:val="single" w:color="000000" w:sz="2" w:space="0"/>
            </w:tcBorders>
            <w:vAlign w:val="center"/>
          </w:tcPr>
          <w:p w14:paraId="77F36FB0">
            <w:pPr>
              <w:bidi w:val="0"/>
              <w:jc w:val="center"/>
            </w:pPr>
          </w:p>
        </w:tc>
        <w:tc>
          <w:tcPr>
            <w:tcW w:w="1646" w:type="pct"/>
            <w:gridSpan w:val="2"/>
            <w:tcBorders>
              <w:top w:val="single" w:color="000000" w:sz="2" w:space="0"/>
              <w:bottom w:val="single" w:color="000000" w:sz="2" w:space="0"/>
            </w:tcBorders>
            <w:vAlign w:val="center"/>
          </w:tcPr>
          <w:p w14:paraId="71E8F775">
            <w:pPr>
              <w:bidi w:val="0"/>
              <w:jc w:val="center"/>
            </w:pPr>
            <w:r>
              <w:t>临时用电作业：未断电，未穿戴绝缘手套等。</w:t>
            </w:r>
          </w:p>
        </w:tc>
        <w:tc>
          <w:tcPr>
            <w:tcW w:w="340" w:type="pct"/>
            <w:tcBorders>
              <w:top w:val="single" w:color="000000" w:sz="2" w:space="0"/>
              <w:bottom w:val="single" w:color="000000" w:sz="2" w:space="0"/>
            </w:tcBorders>
            <w:vAlign w:val="center"/>
          </w:tcPr>
          <w:p w14:paraId="7CB3AACF">
            <w:pPr>
              <w:bidi w:val="0"/>
              <w:jc w:val="center"/>
            </w:pPr>
            <w:r>
              <w:t>10</w:t>
            </w:r>
          </w:p>
        </w:tc>
        <w:tc>
          <w:tcPr>
            <w:tcW w:w="340" w:type="pct"/>
            <w:tcBorders>
              <w:top w:val="single" w:color="000000" w:sz="2" w:space="0"/>
              <w:bottom w:val="single" w:color="000000" w:sz="2" w:space="0"/>
            </w:tcBorders>
            <w:vAlign w:val="center"/>
          </w:tcPr>
          <w:p w14:paraId="0B79002A">
            <w:pPr>
              <w:bidi w:val="0"/>
              <w:jc w:val="center"/>
            </w:pPr>
            <w:r>
              <w:t>10</w:t>
            </w:r>
          </w:p>
        </w:tc>
        <w:tc>
          <w:tcPr>
            <w:tcW w:w="340" w:type="pct"/>
            <w:tcBorders>
              <w:top w:val="single" w:color="000000" w:sz="2" w:space="0"/>
              <w:bottom w:val="single" w:color="000000" w:sz="2" w:space="0"/>
            </w:tcBorders>
            <w:vAlign w:val="center"/>
          </w:tcPr>
          <w:p w14:paraId="4338575C">
            <w:pPr>
              <w:bidi w:val="0"/>
              <w:jc w:val="center"/>
            </w:pPr>
            <w:r>
              <w:t>7</w:t>
            </w:r>
          </w:p>
        </w:tc>
        <w:tc>
          <w:tcPr>
            <w:tcW w:w="422" w:type="pct"/>
            <w:tcBorders>
              <w:top w:val="single" w:color="000000" w:sz="2" w:space="0"/>
              <w:bottom w:val="single" w:color="000000" w:sz="2" w:space="0"/>
            </w:tcBorders>
            <w:vAlign w:val="center"/>
          </w:tcPr>
          <w:p w14:paraId="2D68EAEF">
            <w:pPr>
              <w:bidi w:val="0"/>
              <w:jc w:val="center"/>
            </w:pPr>
            <w:r>
              <w:t>700</w:t>
            </w:r>
          </w:p>
        </w:tc>
        <w:tc>
          <w:tcPr>
            <w:tcW w:w="414" w:type="pct"/>
            <w:tcBorders>
              <w:top w:val="single" w:color="000000" w:sz="2" w:space="0"/>
              <w:bottom w:val="single" w:color="000000" w:sz="2" w:space="0"/>
            </w:tcBorders>
            <w:vAlign w:val="center"/>
          </w:tcPr>
          <w:p w14:paraId="69904C48">
            <w:pPr>
              <w:bidi w:val="0"/>
              <w:jc w:val="center"/>
            </w:pPr>
            <w:r>
              <w:t>Ⅰ</w:t>
            </w:r>
          </w:p>
        </w:tc>
        <w:tc>
          <w:tcPr>
            <w:tcW w:w="648" w:type="pct"/>
            <w:tcBorders>
              <w:top w:val="single" w:color="000000" w:sz="2" w:space="0"/>
              <w:bottom w:val="single" w:color="000000" w:sz="2" w:space="0"/>
            </w:tcBorders>
            <w:vAlign w:val="center"/>
          </w:tcPr>
          <w:p w14:paraId="1601D878">
            <w:pPr>
              <w:bidi w:val="0"/>
              <w:jc w:val="center"/>
            </w:pPr>
            <w:r>
              <w:t>重大风险</w:t>
            </w:r>
          </w:p>
        </w:tc>
        <w:tc>
          <w:tcPr>
            <w:tcW w:w="412" w:type="pct"/>
            <w:tcBorders>
              <w:top w:val="single" w:color="000000" w:sz="2" w:space="0"/>
              <w:bottom w:val="single" w:color="000000" w:sz="2" w:space="0"/>
            </w:tcBorders>
            <w:vAlign w:val="center"/>
          </w:tcPr>
          <w:p w14:paraId="6986E6DD">
            <w:pPr>
              <w:bidi w:val="0"/>
              <w:jc w:val="center"/>
            </w:pPr>
            <w:r>
              <w:t>红色</w:t>
            </w:r>
          </w:p>
        </w:tc>
      </w:tr>
      <w:tr w14:paraId="1C6B1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434" w:type="pct"/>
            <w:tcBorders>
              <w:top w:val="single" w:color="000000" w:sz="2" w:space="0"/>
              <w:bottom w:val="single" w:color="000000" w:sz="2" w:space="0"/>
            </w:tcBorders>
            <w:vAlign w:val="center"/>
          </w:tcPr>
          <w:p w14:paraId="58733293">
            <w:pPr>
              <w:bidi w:val="0"/>
              <w:jc w:val="center"/>
            </w:pPr>
            <w:r>
              <w:t>作业</w:t>
            </w:r>
          </w:p>
        </w:tc>
        <w:tc>
          <w:tcPr>
            <w:tcW w:w="1646" w:type="pct"/>
            <w:gridSpan w:val="2"/>
            <w:tcBorders>
              <w:top w:val="single" w:color="000000" w:sz="2" w:space="0"/>
              <w:bottom w:val="single" w:color="000000" w:sz="2" w:space="0"/>
            </w:tcBorders>
            <w:vAlign w:val="center"/>
          </w:tcPr>
          <w:p w14:paraId="68A2AB52">
            <w:pPr>
              <w:bidi w:val="0"/>
              <w:jc w:val="center"/>
            </w:pPr>
            <w:r>
              <w:t>加油区的违章作业行为</w:t>
            </w:r>
          </w:p>
        </w:tc>
        <w:tc>
          <w:tcPr>
            <w:tcW w:w="340" w:type="pct"/>
            <w:tcBorders>
              <w:top w:val="single" w:color="000000" w:sz="2" w:space="0"/>
              <w:bottom w:val="single" w:color="000000" w:sz="2" w:space="0"/>
            </w:tcBorders>
            <w:vAlign w:val="center"/>
          </w:tcPr>
          <w:p w14:paraId="28E411EF">
            <w:pPr>
              <w:bidi w:val="0"/>
              <w:jc w:val="center"/>
            </w:pPr>
            <w:r>
              <w:t>6</w:t>
            </w:r>
          </w:p>
        </w:tc>
        <w:tc>
          <w:tcPr>
            <w:tcW w:w="340" w:type="pct"/>
            <w:tcBorders>
              <w:top w:val="single" w:color="000000" w:sz="2" w:space="0"/>
              <w:bottom w:val="single" w:color="000000" w:sz="2" w:space="0"/>
            </w:tcBorders>
            <w:vAlign w:val="center"/>
          </w:tcPr>
          <w:p w14:paraId="7DCB6F18">
            <w:pPr>
              <w:bidi w:val="0"/>
              <w:jc w:val="center"/>
            </w:pPr>
            <w:r>
              <w:t>6</w:t>
            </w:r>
          </w:p>
        </w:tc>
        <w:tc>
          <w:tcPr>
            <w:tcW w:w="340" w:type="pct"/>
            <w:tcBorders>
              <w:top w:val="single" w:color="000000" w:sz="2" w:space="0"/>
              <w:bottom w:val="single" w:color="000000" w:sz="2" w:space="0"/>
            </w:tcBorders>
            <w:vAlign w:val="center"/>
          </w:tcPr>
          <w:p w14:paraId="239DFA23">
            <w:pPr>
              <w:bidi w:val="0"/>
              <w:jc w:val="center"/>
            </w:pPr>
            <w:r>
              <w:t>7</w:t>
            </w:r>
          </w:p>
        </w:tc>
        <w:tc>
          <w:tcPr>
            <w:tcW w:w="422" w:type="pct"/>
            <w:tcBorders>
              <w:top w:val="single" w:color="000000" w:sz="2" w:space="0"/>
              <w:bottom w:val="single" w:color="000000" w:sz="2" w:space="0"/>
            </w:tcBorders>
            <w:vAlign w:val="center"/>
          </w:tcPr>
          <w:p w14:paraId="4B146CCB">
            <w:pPr>
              <w:bidi w:val="0"/>
              <w:jc w:val="center"/>
            </w:pPr>
            <w:r>
              <w:t>252</w:t>
            </w:r>
          </w:p>
        </w:tc>
        <w:tc>
          <w:tcPr>
            <w:tcW w:w="414" w:type="pct"/>
            <w:tcBorders>
              <w:top w:val="single" w:color="000000" w:sz="2" w:space="0"/>
              <w:bottom w:val="single" w:color="000000" w:sz="2" w:space="0"/>
            </w:tcBorders>
            <w:vAlign w:val="center"/>
          </w:tcPr>
          <w:p w14:paraId="1CEF9BBE">
            <w:pPr>
              <w:bidi w:val="0"/>
              <w:jc w:val="center"/>
            </w:pPr>
            <w:r>
              <w:t>Ⅱ</w:t>
            </w:r>
          </w:p>
        </w:tc>
        <w:tc>
          <w:tcPr>
            <w:tcW w:w="648" w:type="pct"/>
            <w:tcBorders>
              <w:top w:val="single" w:color="000000" w:sz="2" w:space="0"/>
              <w:bottom w:val="single" w:color="000000" w:sz="2" w:space="0"/>
            </w:tcBorders>
            <w:vAlign w:val="center"/>
          </w:tcPr>
          <w:p w14:paraId="5783F189">
            <w:pPr>
              <w:bidi w:val="0"/>
              <w:jc w:val="center"/>
            </w:pPr>
            <w:r>
              <w:t>较大风险</w:t>
            </w:r>
          </w:p>
        </w:tc>
        <w:tc>
          <w:tcPr>
            <w:tcW w:w="412" w:type="pct"/>
            <w:tcBorders>
              <w:top w:val="single" w:color="000000" w:sz="2" w:space="0"/>
              <w:bottom w:val="single" w:color="000000" w:sz="2" w:space="0"/>
            </w:tcBorders>
            <w:vAlign w:val="center"/>
          </w:tcPr>
          <w:p w14:paraId="68A85C1F">
            <w:pPr>
              <w:bidi w:val="0"/>
              <w:jc w:val="center"/>
            </w:pPr>
            <w:r>
              <w:t>橙色</w:t>
            </w:r>
          </w:p>
        </w:tc>
      </w:tr>
      <w:tr w14:paraId="622DE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434" w:type="pct"/>
            <w:vMerge w:val="restart"/>
            <w:tcBorders>
              <w:top w:val="single" w:color="000000" w:sz="2" w:space="0"/>
              <w:bottom w:val="single" w:color="000000" w:sz="2" w:space="0"/>
            </w:tcBorders>
            <w:vAlign w:val="center"/>
          </w:tcPr>
          <w:p w14:paraId="1B89C09F">
            <w:pPr>
              <w:bidi w:val="0"/>
              <w:jc w:val="center"/>
            </w:pPr>
            <w:r>
              <w:t>区域</w:t>
            </w:r>
          </w:p>
        </w:tc>
        <w:tc>
          <w:tcPr>
            <w:tcW w:w="1646" w:type="pct"/>
            <w:gridSpan w:val="2"/>
            <w:tcBorders>
              <w:top w:val="single" w:color="000000" w:sz="2" w:space="0"/>
              <w:bottom w:val="single" w:color="000000" w:sz="2" w:space="0"/>
            </w:tcBorders>
            <w:vAlign w:val="center"/>
          </w:tcPr>
          <w:p w14:paraId="31453DD8">
            <w:pPr>
              <w:bidi w:val="0"/>
              <w:jc w:val="center"/>
            </w:pPr>
            <w:r>
              <w:t>油罐区违章作业</w:t>
            </w:r>
          </w:p>
        </w:tc>
        <w:tc>
          <w:tcPr>
            <w:tcW w:w="340" w:type="pct"/>
            <w:tcBorders>
              <w:top w:val="single" w:color="000000" w:sz="2" w:space="0"/>
              <w:bottom w:val="single" w:color="000000" w:sz="2" w:space="0"/>
            </w:tcBorders>
            <w:vAlign w:val="center"/>
          </w:tcPr>
          <w:p w14:paraId="25270C1C">
            <w:pPr>
              <w:bidi w:val="0"/>
              <w:jc w:val="center"/>
            </w:pPr>
            <w:r>
              <w:t>6</w:t>
            </w:r>
          </w:p>
        </w:tc>
        <w:tc>
          <w:tcPr>
            <w:tcW w:w="340" w:type="pct"/>
            <w:tcBorders>
              <w:top w:val="single" w:color="000000" w:sz="2" w:space="0"/>
              <w:bottom w:val="single" w:color="000000" w:sz="2" w:space="0"/>
            </w:tcBorders>
            <w:vAlign w:val="center"/>
          </w:tcPr>
          <w:p w14:paraId="0DFD33E4">
            <w:pPr>
              <w:bidi w:val="0"/>
              <w:jc w:val="center"/>
            </w:pPr>
            <w:r>
              <w:t>4.5</w:t>
            </w:r>
          </w:p>
        </w:tc>
        <w:tc>
          <w:tcPr>
            <w:tcW w:w="340" w:type="pct"/>
            <w:tcBorders>
              <w:top w:val="single" w:color="000000" w:sz="2" w:space="0"/>
              <w:bottom w:val="single" w:color="000000" w:sz="2" w:space="0"/>
            </w:tcBorders>
            <w:vAlign w:val="center"/>
          </w:tcPr>
          <w:p w14:paraId="3F1C0F58">
            <w:pPr>
              <w:bidi w:val="0"/>
              <w:jc w:val="center"/>
            </w:pPr>
            <w:r>
              <w:t>15</w:t>
            </w:r>
          </w:p>
        </w:tc>
        <w:tc>
          <w:tcPr>
            <w:tcW w:w="422" w:type="pct"/>
            <w:tcBorders>
              <w:top w:val="single" w:color="000000" w:sz="2" w:space="0"/>
              <w:bottom w:val="single" w:color="000000" w:sz="2" w:space="0"/>
            </w:tcBorders>
            <w:vAlign w:val="center"/>
          </w:tcPr>
          <w:p w14:paraId="6E819041">
            <w:pPr>
              <w:bidi w:val="0"/>
              <w:jc w:val="center"/>
            </w:pPr>
            <w:r>
              <w:t>405</w:t>
            </w:r>
          </w:p>
        </w:tc>
        <w:tc>
          <w:tcPr>
            <w:tcW w:w="415" w:type="pct"/>
            <w:tcBorders>
              <w:top w:val="single" w:color="000000" w:sz="2" w:space="0"/>
              <w:bottom w:val="single" w:color="000000" w:sz="2" w:space="0"/>
            </w:tcBorders>
            <w:vAlign w:val="center"/>
          </w:tcPr>
          <w:p w14:paraId="4109A9DE">
            <w:pPr>
              <w:bidi w:val="0"/>
              <w:jc w:val="center"/>
            </w:pPr>
            <w:r>
              <w:t>Ⅰ</w:t>
            </w:r>
          </w:p>
        </w:tc>
        <w:tc>
          <w:tcPr>
            <w:tcW w:w="648" w:type="pct"/>
            <w:tcBorders>
              <w:top w:val="single" w:color="000000" w:sz="2" w:space="0"/>
              <w:bottom w:val="single" w:color="000000" w:sz="2" w:space="0"/>
            </w:tcBorders>
            <w:vAlign w:val="center"/>
          </w:tcPr>
          <w:p w14:paraId="3203EAAE">
            <w:pPr>
              <w:bidi w:val="0"/>
              <w:jc w:val="center"/>
            </w:pPr>
            <w:r>
              <w:t>重大风险</w:t>
            </w:r>
          </w:p>
        </w:tc>
        <w:tc>
          <w:tcPr>
            <w:tcW w:w="412" w:type="pct"/>
            <w:tcBorders>
              <w:top w:val="single" w:color="000000" w:sz="2" w:space="0"/>
              <w:bottom w:val="single" w:color="000000" w:sz="2" w:space="0"/>
            </w:tcBorders>
            <w:vAlign w:val="center"/>
          </w:tcPr>
          <w:p w14:paraId="34A2A7E0">
            <w:pPr>
              <w:bidi w:val="0"/>
              <w:jc w:val="center"/>
            </w:pPr>
            <w:r>
              <w:t>红色</w:t>
            </w:r>
          </w:p>
        </w:tc>
      </w:tr>
      <w:tr w14:paraId="7E079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434" w:type="pct"/>
            <w:vMerge w:val="continue"/>
            <w:tcBorders>
              <w:top w:val="single" w:color="000000" w:sz="2" w:space="0"/>
            </w:tcBorders>
            <w:vAlign w:val="center"/>
          </w:tcPr>
          <w:p w14:paraId="593BA696">
            <w:pPr>
              <w:bidi w:val="0"/>
              <w:jc w:val="center"/>
            </w:pPr>
          </w:p>
        </w:tc>
        <w:tc>
          <w:tcPr>
            <w:tcW w:w="1646" w:type="pct"/>
            <w:gridSpan w:val="2"/>
            <w:tcBorders>
              <w:top w:val="single" w:color="000000" w:sz="2" w:space="0"/>
            </w:tcBorders>
            <w:vAlign w:val="center"/>
          </w:tcPr>
          <w:p w14:paraId="47A733B1">
            <w:pPr>
              <w:bidi w:val="0"/>
              <w:jc w:val="center"/>
            </w:pPr>
            <w:r>
              <w:t>发配电区违章作业</w:t>
            </w:r>
          </w:p>
        </w:tc>
        <w:tc>
          <w:tcPr>
            <w:tcW w:w="340" w:type="pct"/>
            <w:tcBorders>
              <w:top w:val="single" w:color="000000" w:sz="2" w:space="0"/>
            </w:tcBorders>
            <w:vAlign w:val="center"/>
          </w:tcPr>
          <w:p w14:paraId="02529460">
            <w:pPr>
              <w:bidi w:val="0"/>
              <w:jc w:val="center"/>
            </w:pPr>
            <w:r>
              <w:t>6</w:t>
            </w:r>
          </w:p>
        </w:tc>
        <w:tc>
          <w:tcPr>
            <w:tcW w:w="340" w:type="pct"/>
            <w:tcBorders>
              <w:top w:val="single" w:color="000000" w:sz="2" w:space="0"/>
            </w:tcBorders>
            <w:vAlign w:val="center"/>
          </w:tcPr>
          <w:p w14:paraId="3CE0E411">
            <w:pPr>
              <w:bidi w:val="0"/>
              <w:jc w:val="center"/>
            </w:pPr>
            <w:r>
              <w:t>4.5</w:t>
            </w:r>
          </w:p>
        </w:tc>
        <w:tc>
          <w:tcPr>
            <w:tcW w:w="340" w:type="pct"/>
            <w:tcBorders>
              <w:top w:val="single" w:color="000000" w:sz="2" w:space="0"/>
            </w:tcBorders>
            <w:vAlign w:val="center"/>
          </w:tcPr>
          <w:p w14:paraId="15C9A7E9">
            <w:pPr>
              <w:bidi w:val="0"/>
              <w:jc w:val="center"/>
            </w:pPr>
            <w:r>
              <w:t>7</w:t>
            </w:r>
          </w:p>
        </w:tc>
        <w:tc>
          <w:tcPr>
            <w:tcW w:w="422" w:type="pct"/>
            <w:tcBorders>
              <w:top w:val="single" w:color="000000" w:sz="2" w:space="0"/>
            </w:tcBorders>
            <w:vAlign w:val="center"/>
          </w:tcPr>
          <w:p w14:paraId="0A98D3D7">
            <w:pPr>
              <w:bidi w:val="0"/>
              <w:jc w:val="center"/>
            </w:pPr>
            <w:r>
              <w:t>189</w:t>
            </w:r>
          </w:p>
        </w:tc>
        <w:tc>
          <w:tcPr>
            <w:tcW w:w="415" w:type="pct"/>
            <w:tcBorders>
              <w:top w:val="single" w:color="000000" w:sz="2" w:space="0"/>
            </w:tcBorders>
            <w:vAlign w:val="center"/>
          </w:tcPr>
          <w:p w14:paraId="7267FFCA">
            <w:pPr>
              <w:bidi w:val="0"/>
              <w:jc w:val="center"/>
            </w:pPr>
            <w:r>
              <w:t>Ⅱ</w:t>
            </w:r>
          </w:p>
        </w:tc>
        <w:tc>
          <w:tcPr>
            <w:tcW w:w="648" w:type="pct"/>
            <w:tcBorders>
              <w:top w:val="single" w:color="000000" w:sz="2" w:space="0"/>
            </w:tcBorders>
            <w:vAlign w:val="center"/>
          </w:tcPr>
          <w:p w14:paraId="36A50452">
            <w:pPr>
              <w:bidi w:val="0"/>
              <w:jc w:val="center"/>
            </w:pPr>
            <w:r>
              <w:t>较大风险</w:t>
            </w:r>
          </w:p>
        </w:tc>
        <w:tc>
          <w:tcPr>
            <w:tcW w:w="412" w:type="pct"/>
            <w:tcBorders>
              <w:top w:val="single" w:color="000000" w:sz="2" w:space="0"/>
            </w:tcBorders>
            <w:vAlign w:val="center"/>
          </w:tcPr>
          <w:p w14:paraId="5071F35A">
            <w:pPr>
              <w:bidi w:val="0"/>
              <w:jc w:val="center"/>
            </w:pPr>
            <w:r>
              <w:t>橙色</w:t>
            </w:r>
          </w:p>
        </w:tc>
      </w:tr>
    </w:tbl>
    <w:p w14:paraId="015E886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通过作业条件危险性分析评价可知：</w:t>
      </w:r>
    </w:p>
    <w:p w14:paraId="5076C69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卸油、加油、量油和供配电等各作业环节，虽属于一般风险，但均存在显著危险危害，其中电气不防爆、加油及卸油时违章操作或安全设施缺失、爆炸危险区域内存在点火源、爆炸危险区域内使用不防爆的电气设备是产生事故的主要因素。因此，加油站在经营过程中应引起高度重视，加大防范及管理力度，完善安全设施，确保系统安全运行，保障正常生产经营。</w:t>
      </w:r>
    </w:p>
    <w:p w14:paraId="0AE6D05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2、加油站的油罐清洗、动火，输油管道的动火，高处作业、临时用电作业等检修作业属于极度危险作业，存在重大风险，作业时必须严格按照安全作业规程执行，严格执行安全措施和作业审批制度。</w:t>
      </w:r>
    </w:p>
    <w:p w14:paraId="4480FD4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加油区和发配电区域属于较大风险区域，属于橙色区域；油罐区域属于重大风险区域，属于红色区域。若发生事故，后果比较严重。加油站应加强这些区域的管理，在这些区域作业，应严格执行安全操作规程，严禁违章作业。</w:t>
      </w:r>
    </w:p>
    <w:p w14:paraId="4581E165">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000000" w:themeColor="text1"/>
          <w:kern w:val="0"/>
          <w:szCs w:val="20"/>
          <w:shd w:val="clear" w:color="auto" w:fill="auto"/>
          <w:lang w:val="en-US" w:eastAsia="zh-CN"/>
          <w14:textFill>
            <w14:solidFill>
              <w14:schemeClr w14:val="tx1"/>
            </w14:solidFill>
          </w14:textFill>
        </w:rPr>
      </w:pPr>
      <w:bookmarkStart w:id="410" w:name="_Toc4390"/>
      <w:bookmarkStart w:id="411" w:name="_Toc17574"/>
      <w:bookmarkStart w:id="412" w:name="_Toc1715"/>
      <w:bookmarkStart w:id="413" w:name="_Toc2637"/>
      <w:r>
        <w:rPr>
          <w:rFonts w:hint="eastAsia" w:ascii="宋体" w:hAnsi="宋体" w:eastAsia="宋体" w:cs="宋体"/>
          <w:b/>
          <w:smallCaps/>
          <w:color w:val="000000" w:themeColor="text1"/>
          <w:kern w:val="0"/>
          <w:szCs w:val="20"/>
          <w:shd w:val="clear" w:color="auto" w:fill="auto"/>
          <w:lang w:val="en-US" w:eastAsia="zh-CN"/>
          <w14:textFill>
            <w14:solidFill>
              <w14:schemeClr w14:val="tx1"/>
            </w14:solidFill>
          </w14:textFill>
        </w:rPr>
        <w:t>6.3地下储罐爆炸的伤害模型计算</w:t>
      </w:r>
      <w:bookmarkEnd w:id="410"/>
      <w:bookmarkEnd w:id="411"/>
      <w:bookmarkEnd w:id="412"/>
      <w:bookmarkEnd w:id="413"/>
    </w:p>
    <w:p w14:paraId="6A64A725">
      <w:pPr>
        <w:keepNext w:val="0"/>
        <w:keepLines w:val="0"/>
        <w:pageBreakBefore w:val="0"/>
        <w:widowControl w:val="0"/>
        <w:tabs>
          <w:tab w:val="left" w:pos="1356"/>
        </w:tabs>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pPr>
      <w:bookmarkStart w:id="414" w:name="_Toc2913"/>
      <w:bookmarkStart w:id="415" w:name="_Toc32265"/>
      <w:bookmarkStart w:id="416" w:name="_Toc7911"/>
      <w:r>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t>6.3.1爆炸能量W</w:t>
      </w:r>
      <w:r>
        <w:rPr>
          <w:rFonts w:hint="eastAsia" w:ascii="宋体" w:hAnsi="宋体" w:eastAsia="宋体" w:cs="宋体"/>
          <w:b/>
          <w:color w:val="000000" w:themeColor="text1"/>
          <w:sz w:val="30"/>
          <w:szCs w:val="30"/>
          <w:shd w:val="clear" w:color="auto" w:fill="auto"/>
          <w:vertAlign w:val="subscript"/>
          <w:lang w:val="en-US" w:eastAsia="zh-CN"/>
          <w14:textFill>
            <w14:solidFill>
              <w14:schemeClr w14:val="tx1"/>
            </w14:solidFill>
          </w14:textFill>
        </w:rPr>
        <w:t>TNT</w:t>
      </w:r>
      <w:r>
        <w:rPr>
          <w:rFonts w:hint="eastAsia" w:ascii="宋体" w:hAnsi="宋体" w:eastAsia="宋体" w:cs="宋体"/>
          <w:b/>
          <w:color w:val="000000" w:themeColor="text1"/>
          <w:sz w:val="30"/>
          <w:szCs w:val="30"/>
          <w:shd w:val="clear" w:color="auto" w:fill="auto"/>
          <w:lang w:val="en-US" w:eastAsia="zh-CN"/>
          <w14:textFill>
            <w14:solidFill>
              <w14:schemeClr w14:val="tx1"/>
            </w14:solidFill>
          </w14:textFill>
        </w:rPr>
        <w:t>的计算</w:t>
      </w:r>
      <w:bookmarkEnd w:id="414"/>
      <w:bookmarkEnd w:id="415"/>
      <w:bookmarkEnd w:id="416"/>
    </w:p>
    <w:p w14:paraId="44006D9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漏的油品蒸发而形成的可燃蒸气在空气中扩散，遇到火源发生突然燃烧而发生爆炸。油罐在发生爆炸时，爆破能量在向外释放时以冲击波能量、碎</w:t>
      </w:r>
    </w:p>
    <w:p w14:paraId="1A9B3AB8">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片能量和容器残余变形能量三种形式表现出来。</w:t>
      </w:r>
    </w:p>
    <w:p w14:paraId="2AB4078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加油站油品储存单元共有</w:t>
      </w:r>
      <w:r>
        <w:rPr>
          <w:rFonts w:hint="eastAsia" w:ascii="宋体" w:hAnsi="宋体" w:cs="宋体"/>
          <w:snapToGrid/>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个储油罐，其中：</w:t>
      </w:r>
      <w:r>
        <w:rPr>
          <w:rFonts w:hint="eastAsia" w:ascii="宋体" w:hAnsi="宋体" w:cs="宋体"/>
          <w:color w:val="000000"/>
          <w:sz w:val="28"/>
          <w:szCs w:val="28"/>
        </w:rPr>
        <w:t>1个</w:t>
      </w:r>
      <w:r>
        <w:rPr>
          <w:rFonts w:hint="eastAsia" w:ascii="宋体" w:hAnsi="宋体" w:cs="宋体"/>
          <w:color w:val="000000"/>
          <w:sz w:val="28"/>
          <w:szCs w:val="28"/>
          <w:lang w:val="en-US" w:eastAsia="zh-CN"/>
        </w:rPr>
        <w:t>50</w:t>
      </w:r>
      <w:r>
        <w:rPr>
          <w:rFonts w:hint="eastAsia" w:ascii="宋体" w:hAnsi="宋体" w:cs="宋体"/>
          <w:color w:val="000000"/>
          <w:sz w:val="28"/>
          <w:szCs w:val="28"/>
        </w:rPr>
        <w:t>m</w:t>
      </w:r>
      <w:r>
        <w:rPr>
          <w:rFonts w:hint="eastAsia" w:ascii="宋体" w:hAnsi="宋体" w:cs="宋体"/>
          <w:color w:val="000000"/>
          <w:sz w:val="28"/>
          <w:szCs w:val="28"/>
          <w:vertAlign w:val="superscript"/>
        </w:rPr>
        <w:t>3</w:t>
      </w:r>
      <w:r>
        <w:rPr>
          <w:rFonts w:hint="eastAsia" w:ascii="宋体" w:hAnsi="宋体" w:cs="宋体"/>
          <w:color w:val="000000"/>
          <w:sz w:val="28"/>
          <w:szCs w:val="28"/>
        </w:rPr>
        <w:t>95#汽油罐，1个</w:t>
      </w:r>
      <w:r>
        <w:rPr>
          <w:rFonts w:hint="eastAsia" w:ascii="宋体" w:hAnsi="宋体" w:cs="宋体"/>
          <w:color w:val="000000"/>
          <w:sz w:val="28"/>
          <w:szCs w:val="28"/>
          <w:lang w:val="en-US" w:eastAsia="zh-CN"/>
        </w:rPr>
        <w:t>50</w:t>
      </w:r>
      <w:r>
        <w:rPr>
          <w:rFonts w:hint="eastAsia" w:ascii="宋体" w:hAnsi="宋体" w:cs="宋体"/>
          <w:color w:val="000000"/>
          <w:sz w:val="28"/>
          <w:szCs w:val="28"/>
        </w:rPr>
        <w:t>m</w:t>
      </w:r>
      <w:r>
        <w:rPr>
          <w:rFonts w:hint="eastAsia" w:ascii="宋体" w:hAnsi="宋体" w:cs="宋体"/>
          <w:color w:val="000000"/>
          <w:sz w:val="28"/>
          <w:szCs w:val="28"/>
          <w:vertAlign w:val="superscript"/>
        </w:rPr>
        <w:t>3</w:t>
      </w:r>
      <w:r>
        <w:rPr>
          <w:rFonts w:hint="eastAsia" w:ascii="宋体" w:hAnsi="宋体" w:cs="宋体"/>
          <w:color w:val="000000"/>
          <w:sz w:val="28"/>
          <w:szCs w:val="28"/>
        </w:rPr>
        <w:t>92#汽油罐，</w:t>
      </w:r>
      <w:r>
        <w:rPr>
          <w:rFonts w:hint="eastAsia" w:ascii="宋体" w:hAnsi="宋体" w:cs="宋体"/>
          <w:color w:val="000000"/>
          <w:sz w:val="28"/>
          <w:szCs w:val="28"/>
          <w:lang w:val="en-US" w:eastAsia="zh-CN"/>
        </w:rPr>
        <w:t>2</w:t>
      </w:r>
      <w:r>
        <w:rPr>
          <w:rFonts w:hint="eastAsia" w:ascii="宋体" w:hAnsi="宋体" w:cs="宋体"/>
          <w:color w:val="000000"/>
          <w:sz w:val="28"/>
          <w:szCs w:val="28"/>
        </w:rPr>
        <w:t>个</w:t>
      </w:r>
      <w:r>
        <w:rPr>
          <w:rFonts w:hint="eastAsia" w:ascii="宋体" w:hAnsi="宋体" w:cs="宋体"/>
          <w:color w:val="000000"/>
          <w:sz w:val="28"/>
          <w:szCs w:val="28"/>
          <w:lang w:val="en-US" w:eastAsia="zh-CN"/>
        </w:rPr>
        <w:t>50</w:t>
      </w:r>
      <w:r>
        <w:rPr>
          <w:rFonts w:hint="eastAsia" w:ascii="宋体" w:hAnsi="宋体" w:cs="宋体"/>
          <w:color w:val="000000"/>
          <w:sz w:val="28"/>
          <w:szCs w:val="28"/>
        </w:rPr>
        <w:t>m</w:t>
      </w:r>
      <w:r>
        <w:rPr>
          <w:rFonts w:hint="eastAsia" w:ascii="宋体" w:hAnsi="宋体" w:cs="宋体"/>
          <w:color w:val="000000"/>
          <w:sz w:val="28"/>
          <w:szCs w:val="28"/>
          <w:vertAlign w:val="superscript"/>
        </w:rPr>
        <w:t>3</w:t>
      </w:r>
      <w:r>
        <w:rPr>
          <w:rFonts w:hint="eastAsia" w:ascii="宋体" w:hAnsi="宋体" w:cs="宋体"/>
          <w:color w:val="000000"/>
          <w:sz w:val="28"/>
          <w:szCs w:val="28"/>
        </w:rPr>
        <w:t>0#柴油罐</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按全部油罐中油料与空气混合后发生爆炸的情况考虑，由于柴油危险性比汽油的小，采用汽油罐计算。一般情况下，油罐不会同时发生爆炸即使发生爆炸，只可能发生连环爆炸。由于不可能同时发生爆炸，其爆炸的冲击波不会叠加。因此采用</w:t>
      </w:r>
      <w:r>
        <w:rPr>
          <w:rFonts w:hint="eastAsia" w:ascii="宋体" w:hAnsi="宋体" w:cs="宋体"/>
          <w:snapToGrid/>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0m</w:t>
      </w:r>
      <w:r>
        <w:rPr>
          <w:rFonts w:hint="eastAsia" w:ascii="宋体" w:hAnsi="宋体" w:eastAsia="宋体" w:cs="宋体"/>
          <w:snapToGrid/>
          <w:color w:val="000000" w:themeColor="text1"/>
          <w:kern w:val="0"/>
          <w:sz w:val="28"/>
          <w:szCs w:val="28"/>
          <w:vertAlign w:val="superscript"/>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的92#汽油罐进行蒸汽云模拟爆炸计算。</w:t>
      </w:r>
    </w:p>
    <w:p w14:paraId="4EEF730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根据爆炸力学理论，采用范登伯格（VandenBerg)和兰诺伊（Lannoy)TNT当量法，将其它易燃、易爆物质转化成相应的X千克当量TNT，来描述爆炸事故的威力，即能量释放程度，计算出危害程度。计算公式如下：</w:t>
      </w:r>
    </w:p>
    <w:p w14:paraId="5AED193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根据有关资料，汽油爆炸下限为1.4%，上限为7.6%。地下油罐一般是罐内油品蒸气形成爆炸性混合气体，遇到明火或高温等情况发生爆炸。因此应以油罐容积为限，计算其达到爆炸极限时油品蒸气的爆炸能量。</w:t>
      </w:r>
    </w:p>
    <w:p w14:paraId="2F4D57C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已知汽油相对标准状态下对于干空气的密度为3.5。标准状态下干空气密度为1.293kg/m³。</w:t>
      </w:r>
    </w:p>
    <w:p w14:paraId="7DEFD3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设油罐容积为X，且假设整个储罐为一个点爆炸源。设1m³达到爆炸极</w:t>
      </w:r>
    </w:p>
    <w:p w14:paraId="2A5ECAC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限的汽油蒸气质量为B，则有：</w:t>
      </w:r>
    </w:p>
    <w:p w14:paraId="34E3F20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B</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下</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=3.5×1.293×1.4%=0.063357kg</w:t>
      </w:r>
    </w:p>
    <w:p w14:paraId="6D82B1D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B</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上</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=3.5×1.293×7.6%=0.343938kg</w:t>
      </w:r>
    </w:p>
    <w:p w14:paraId="0E7270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则W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=X•B</w:t>
      </w:r>
    </w:p>
    <w:p w14:paraId="48B91CE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＝0.38699W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f</w:t>
      </w:r>
    </w:p>
    <w:p w14:paraId="4339399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该加油站单个最大汽油储罐容积为</w:t>
      </w:r>
      <w:r>
        <w:rPr>
          <w:rFonts w:hint="eastAsia" w:ascii="宋体" w:hAnsi="宋体" w:cs="宋体"/>
          <w:snapToGrid/>
          <w:color w:val="000000" w:themeColor="text1"/>
          <w:kern w:val="0"/>
          <w:sz w:val="28"/>
          <w:szCs w:val="28"/>
          <w:lang w:val="en-US" w:eastAsia="zh-CN" w:bidi="ar-SA"/>
          <w14:textFill>
            <w14:solidFill>
              <w14:schemeClr w14:val="tx1"/>
            </w14:solidFill>
          </w14:textFill>
        </w:rPr>
        <w:t>50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m³,并假设汽油罐作为一个点爆</w:t>
      </w:r>
    </w:p>
    <w:p w14:paraId="464C14C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炸源，则将之代入上式可计算中得出：</w:t>
      </w:r>
    </w:p>
    <w:p w14:paraId="0F3A121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Wf</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下</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=3.5×1.293×1.4%×</w:t>
      </w:r>
      <w:r>
        <w:rPr>
          <w:rFonts w:hint="eastAsia" w:ascii="宋体" w:hAnsi="宋体" w:cs="宋体"/>
          <w:snapToGrid/>
          <w:color w:val="000000" w:themeColor="text1"/>
          <w:kern w:val="0"/>
          <w:sz w:val="28"/>
          <w:szCs w:val="28"/>
          <w:lang w:val="en-US" w:eastAsia="zh-CN" w:bidi="ar-SA"/>
          <w14:textFill>
            <w14:solidFill>
              <w14:schemeClr w14:val="tx1"/>
            </w14:solidFill>
          </w14:textFill>
        </w:rPr>
        <w:t>50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t>
      </w:r>
      <w:r>
        <w:rPr>
          <w:rFonts w:hint="eastAsia" w:ascii="宋体" w:hAnsi="宋体" w:cs="宋体"/>
          <w:snapToGrid/>
          <w:color w:val="000000" w:themeColor="text1"/>
          <w:kern w:val="0"/>
          <w:sz w:val="28"/>
          <w:szCs w:val="28"/>
          <w:lang w:val="en-US" w:eastAsia="zh-CN" w:bidi="ar-SA"/>
          <w14:textFill>
            <w14:solidFill>
              <w14:schemeClr w14:val="tx1"/>
            </w14:solidFill>
          </w14:textFill>
        </w:rPr>
        <w:t>3.16785</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w:t>
      </w:r>
    </w:p>
    <w:p w14:paraId="54EA60A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Wf</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上</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=3.5×1.293×7.6%×</w:t>
      </w:r>
      <w:r>
        <w:rPr>
          <w:rFonts w:hint="eastAsia" w:ascii="宋体" w:hAnsi="宋体" w:cs="宋体"/>
          <w:snapToGrid/>
          <w:color w:val="000000" w:themeColor="text1"/>
          <w:kern w:val="0"/>
          <w:sz w:val="28"/>
          <w:szCs w:val="28"/>
          <w:lang w:val="en-US" w:eastAsia="zh-CN" w:bidi="ar-SA"/>
          <w14:textFill>
            <w14:solidFill>
              <w14:schemeClr w14:val="tx1"/>
            </w14:solidFill>
          </w14:textFill>
        </w:rPr>
        <w:t>50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t>
      </w:r>
      <w:r>
        <w:rPr>
          <w:rFonts w:hint="eastAsia" w:ascii="宋体" w:hAnsi="宋体" w:cs="宋体"/>
          <w:snapToGrid/>
          <w:color w:val="000000" w:themeColor="text1"/>
          <w:kern w:val="0"/>
          <w:sz w:val="28"/>
          <w:szCs w:val="28"/>
          <w:lang w:val="en-US" w:eastAsia="zh-CN" w:bidi="ar-SA"/>
          <w14:textFill>
            <w14:solidFill>
              <w14:schemeClr w14:val="tx1"/>
            </w14:solidFill>
          </w14:textFill>
        </w:rPr>
        <w:t>17.1969</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w:t>
      </w:r>
    </w:p>
    <w:p w14:paraId="69F3EFD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将之代入（2）式可计算出该加油站单个汽油储罐爆炸的TNT当量W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范围是：</w:t>
      </w:r>
      <w:r>
        <w:rPr>
          <w:rFonts w:hint="eastAsia" w:ascii="宋体" w:hAnsi="宋体" w:cs="宋体"/>
          <w:snapToGrid/>
          <w:color w:val="000000" w:themeColor="text1"/>
          <w:kern w:val="0"/>
          <w:sz w:val="28"/>
          <w:szCs w:val="28"/>
          <w:lang w:val="en-US" w:eastAsia="zh-CN" w:bidi="ar-SA"/>
          <w14:textFill>
            <w14:solidFill>
              <w14:schemeClr w14:val="tx1"/>
            </w14:solidFill>
          </w14:textFill>
        </w:rPr>
        <w:t>1.2259</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t>
      </w:r>
      <w:r>
        <w:rPr>
          <w:rFonts w:hint="eastAsia" w:ascii="宋体" w:hAnsi="宋体" w:cs="宋体"/>
          <w:snapToGrid/>
          <w:color w:val="000000" w:themeColor="text1"/>
          <w:kern w:val="0"/>
          <w:sz w:val="28"/>
          <w:szCs w:val="28"/>
          <w:lang w:val="en-US" w:eastAsia="zh-CN" w:bidi="ar-SA"/>
          <w14:textFill>
            <w14:solidFill>
              <w14:schemeClr w14:val="tx1"/>
            </w14:solidFill>
          </w14:textFill>
        </w:rPr>
        <w:t>6.6550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kg，该加油站地下汽油储罐内部爆炸性气体混合物</w:t>
      </w:r>
    </w:p>
    <w:p w14:paraId="2EC5490A">
      <w:pPr>
        <w:keepNext w:val="0"/>
        <w:keepLines w:val="0"/>
        <w:pageBreakBefore w:val="0"/>
        <w:widowControl w:val="0"/>
        <w:tabs>
          <w:tab w:val="left" w:pos="1356"/>
        </w:tabs>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0000FF"/>
          <w:sz w:val="30"/>
          <w:szCs w:val="30"/>
          <w:shd w:val="clear" w:color="FFFFFF" w:fill="D9D9D9"/>
          <w:lang w:val="en-US" w:eastAsia="zh-CN"/>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全部参与爆炸的最大TNT当量为</w:t>
      </w:r>
      <w:r>
        <w:rPr>
          <w:rFonts w:hint="eastAsia" w:ascii="宋体" w:hAnsi="宋体" w:cs="宋体"/>
          <w:snapToGrid/>
          <w:color w:val="000000" w:themeColor="text1"/>
          <w:kern w:val="0"/>
          <w:sz w:val="28"/>
          <w:szCs w:val="28"/>
          <w:lang w:val="en-US" w:eastAsia="zh-CN" w:bidi="ar-SA"/>
          <w14:textFill>
            <w14:solidFill>
              <w14:schemeClr w14:val="tx1"/>
            </w14:solidFill>
          </w14:textFill>
        </w:rPr>
        <w:t>6.6550</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kg。</w:t>
      </w:r>
    </w:p>
    <w:p w14:paraId="78CAFEFB">
      <w:pPr>
        <w:tabs>
          <w:tab w:val="left" w:pos="796"/>
        </w:tabs>
        <w:bidi w:val="0"/>
        <w:jc w:val="left"/>
        <w:rPr>
          <w:rFonts w:hint="eastAsia" w:ascii="宋体" w:hAnsi="宋体" w:eastAsia="宋体" w:cs="宋体"/>
          <w:b/>
          <w:color w:val="000000" w:themeColor="text1"/>
          <w:sz w:val="30"/>
          <w:szCs w:val="30"/>
          <w:lang w:val="en-US" w:eastAsia="zh-CN"/>
          <w14:textFill>
            <w14:solidFill>
              <w14:schemeClr w14:val="tx1"/>
            </w14:solidFill>
          </w14:textFill>
        </w:rPr>
      </w:pPr>
      <w:bookmarkStart w:id="417" w:name="_Toc28141"/>
      <w:bookmarkStart w:id="418" w:name="_Toc32221"/>
      <w:bookmarkStart w:id="419" w:name="_Toc13846"/>
    </w:p>
    <w:p w14:paraId="3FA44344">
      <w:pPr>
        <w:tabs>
          <w:tab w:val="left" w:pos="796"/>
        </w:tabs>
        <w:bidi w:val="0"/>
        <w:jc w:val="left"/>
        <w:rPr>
          <w:rFonts w:hint="eastAsia" w:ascii="宋体" w:hAnsi="宋体" w:eastAsia="宋体" w:cs="宋体"/>
          <w:b/>
          <w:color w:val="000000" w:themeColor="text1"/>
          <w:sz w:val="30"/>
          <w:szCs w:val="30"/>
          <w:lang w:val="en-US" w:eastAsia="zh-CN"/>
          <w14:textFill>
            <w14:solidFill>
              <w14:schemeClr w14:val="tx1"/>
            </w14:solidFill>
          </w14:textFill>
        </w:rPr>
      </w:pPr>
      <w:r>
        <w:rPr>
          <w:rFonts w:hint="eastAsia" w:ascii="宋体" w:hAnsi="宋体" w:eastAsia="宋体" w:cs="宋体"/>
          <w:b/>
          <w:color w:val="000000" w:themeColor="text1"/>
          <w:sz w:val="30"/>
          <w:szCs w:val="30"/>
          <w:lang w:val="en-US" w:eastAsia="zh-CN"/>
          <w14:textFill>
            <w14:solidFill>
              <w14:schemeClr w14:val="tx1"/>
            </w14:solidFill>
          </w14:textFill>
        </w:rPr>
        <w:t>6.3.2爆炸冲击波对人员伤害和建筑物破坏范围</w:t>
      </w:r>
      <w:bookmarkEnd w:id="417"/>
      <w:bookmarkEnd w:id="418"/>
      <w:bookmarkEnd w:id="419"/>
    </w:p>
    <w:p w14:paraId="603B63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爆炸冲击波对人员和建筑物的损伤程度</w:t>
      </w:r>
    </w:p>
    <w:p w14:paraId="226FC77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地下储油罐爆炸冲击波计算应采用岩土爆破研究的有关技术，结合地下储罐属于砂土覆盖和填充，采用G.M莱克霍夫的研究成果。莱克霍夫对于砂质土壤中的冲击波超压计算，有：</w:t>
      </w:r>
    </w:p>
    <w:p w14:paraId="2A78C92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ascii="宋体" w:hAnsi="宋体" w:eastAsia="宋体" w:cs="宋体"/>
          <w:position w:val="2"/>
          <w:sz w:val="28"/>
          <w:szCs w:val="28"/>
        </w:rPr>
        <w:t>△</w:t>
      </w:r>
      <w:r>
        <w:rPr>
          <w:rFonts w:ascii="Times New Roman" w:hAnsi="Times New Roman" w:eastAsia="Times New Roman" w:cs="Times New Roman"/>
          <w:position w:val="2"/>
          <w:sz w:val="28"/>
          <w:szCs w:val="28"/>
        </w:rPr>
        <w:t>P</w:t>
      </w:r>
      <w:r>
        <w:rPr>
          <w:rFonts w:ascii="Times New Roman" w:hAnsi="Times New Roman" w:eastAsia="Times New Roman" w:cs="Times New Roman"/>
          <w:position w:val="2"/>
          <w:sz w:val="18"/>
          <w:szCs w:val="18"/>
        </w:rPr>
        <w:t>m</w:t>
      </w:r>
      <w:r>
        <w:rPr>
          <w:rFonts w:ascii="Times New Roman" w:hAnsi="Times New Roman" w:eastAsia="Times New Roman" w:cs="Times New Roman"/>
          <w:position w:val="2"/>
          <w:sz w:val="28"/>
          <w:szCs w:val="28"/>
        </w:rPr>
        <w:t>=8</w:t>
      </w:r>
      <w:r>
        <w:rPr>
          <w:rFonts w:ascii="宋体" w:hAnsi="宋体" w:eastAsia="宋体" w:cs="宋体"/>
          <w:position w:val="2"/>
          <w:sz w:val="28"/>
          <w:szCs w:val="28"/>
        </w:rPr>
        <w:t>（</w:t>
      </w:r>
      <w:r>
        <w:rPr>
          <w:rFonts w:ascii="Times New Roman" w:hAnsi="Times New Roman" w:eastAsia="Times New Roman" w:cs="Times New Roman"/>
          <w:position w:val="2"/>
          <w:sz w:val="28"/>
          <w:szCs w:val="28"/>
        </w:rPr>
        <w:t>R/W</w:t>
      </w:r>
      <w:r>
        <w:rPr>
          <w:rFonts w:ascii="Times New Roman" w:hAnsi="Times New Roman" w:eastAsia="Times New Roman" w:cs="Times New Roman"/>
          <w:sz w:val="18"/>
          <w:szCs w:val="18"/>
        </w:rPr>
        <w:t>TNT</w:t>
      </w:r>
      <w:r>
        <w:rPr>
          <w:rFonts w:ascii="Times New Roman" w:hAnsi="Times New Roman" w:eastAsia="Times New Roman" w:cs="Times New Roman"/>
          <w:position w:val="10"/>
          <w:sz w:val="18"/>
          <w:szCs w:val="18"/>
        </w:rPr>
        <w:t>1/3</w:t>
      </w:r>
      <w:r>
        <w:rPr>
          <w:rFonts w:ascii="宋体" w:hAnsi="宋体" w:eastAsia="宋体" w:cs="宋体"/>
          <w:position w:val="2"/>
          <w:sz w:val="28"/>
          <w:szCs w:val="28"/>
        </w:rPr>
        <w:t>）</w:t>
      </w:r>
      <w:r>
        <w:rPr>
          <w:rFonts w:ascii="Times New Roman" w:hAnsi="Times New Roman" w:eastAsia="Times New Roman" w:cs="Times New Roman"/>
          <w:position w:val="10"/>
          <w:sz w:val="18"/>
          <w:szCs w:val="18"/>
        </w:rPr>
        <w:t>-3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w:t>
      </w:r>
    </w:p>
    <w:p w14:paraId="1551704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式中：△Pm—爆炸冲击波超压，105Pa；</w:t>
      </w:r>
    </w:p>
    <w:p w14:paraId="59DD4C1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R—爆心到所研究点的距离，m；</w:t>
      </w:r>
    </w:p>
    <w:p w14:paraId="607DA73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W</w:t>
      </w:r>
      <w:r>
        <w:rPr>
          <w:rFonts w:hint="eastAsia" w:ascii="宋体" w:hAnsi="宋体" w:eastAsia="宋体" w:cs="宋体"/>
          <w:snapToGrid/>
          <w:color w:val="000000" w:themeColor="text1"/>
          <w:kern w:val="0"/>
          <w:sz w:val="28"/>
          <w:szCs w:val="28"/>
          <w:vertAlign w:val="subscript"/>
          <w:lang w:val="en-US" w:eastAsia="zh-CN" w:bidi="ar-SA"/>
          <w14:textFill>
            <w14:solidFill>
              <w14:schemeClr w14:val="tx1"/>
            </w14:solidFill>
          </w14:textFill>
        </w:rPr>
        <w:t>TNT</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—蒸气云的TNT当量，kg；</w:t>
      </w:r>
    </w:p>
    <w:p w14:paraId="41E306C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对（3）式进行转换，有：</w:t>
      </w:r>
    </w:p>
    <w:p w14:paraId="1269D1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ascii="Times New Roman" w:hAnsi="Times New Roman" w:eastAsia="Times New Roman" w:cs="Times New Roman"/>
          <w:position w:val="1"/>
          <w:sz w:val="28"/>
          <w:szCs w:val="28"/>
        </w:rPr>
        <w:t>R=</w:t>
      </w:r>
      <w:r>
        <w:rPr>
          <w:rFonts w:ascii="宋体" w:hAnsi="宋体" w:eastAsia="宋体" w:cs="宋体"/>
          <w:position w:val="1"/>
          <w:sz w:val="28"/>
          <w:szCs w:val="28"/>
        </w:rPr>
        <w:t>（</w:t>
      </w:r>
      <w:r>
        <w:rPr>
          <w:rFonts w:ascii="Times New Roman" w:hAnsi="Times New Roman" w:eastAsia="Times New Roman" w:cs="Times New Roman"/>
          <w:position w:val="1"/>
          <w:sz w:val="28"/>
          <w:szCs w:val="28"/>
        </w:rPr>
        <w:t>8W</w:t>
      </w:r>
      <w:r>
        <w:rPr>
          <w:rFonts w:ascii="Times New Roman" w:hAnsi="Times New Roman" w:eastAsia="Times New Roman" w:cs="Times New Roman"/>
          <w:position w:val="1"/>
          <w:sz w:val="12"/>
          <w:szCs w:val="12"/>
        </w:rPr>
        <w:t>TNT</w:t>
      </w:r>
      <w:r>
        <w:rPr>
          <w:rFonts w:ascii="Times New Roman" w:hAnsi="Times New Roman" w:eastAsia="Times New Roman" w:cs="Times New Roman"/>
          <w:position w:val="1"/>
          <w:sz w:val="28"/>
          <w:szCs w:val="28"/>
        </w:rPr>
        <w:t>/</w:t>
      </w:r>
      <w:r>
        <w:rPr>
          <w:rFonts w:ascii="宋体" w:hAnsi="宋体" w:eastAsia="宋体" w:cs="宋体"/>
          <w:position w:val="1"/>
          <w:sz w:val="28"/>
          <w:szCs w:val="28"/>
        </w:rPr>
        <w:t>△</w:t>
      </w:r>
      <w:r>
        <w:rPr>
          <w:rFonts w:ascii="Times New Roman" w:hAnsi="Times New Roman" w:eastAsia="Times New Roman" w:cs="Times New Roman"/>
          <w:position w:val="1"/>
          <w:sz w:val="28"/>
          <w:szCs w:val="28"/>
        </w:rPr>
        <w:t>P</w:t>
      </w:r>
      <w:r>
        <w:rPr>
          <w:rFonts w:ascii="Times New Roman" w:hAnsi="Times New Roman" w:eastAsia="Times New Roman" w:cs="Times New Roman"/>
          <w:position w:val="1"/>
          <w:sz w:val="18"/>
          <w:szCs w:val="18"/>
        </w:rPr>
        <w:t>m</w:t>
      </w:r>
      <w:r>
        <w:rPr>
          <w:rFonts w:ascii="宋体" w:hAnsi="宋体" w:eastAsia="宋体" w:cs="宋体"/>
          <w:position w:val="1"/>
          <w:sz w:val="28"/>
          <w:szCs w:val="28"/>
        </w:rPr>
        <w:t>）</w:t>
      </w:r>
      <w:r>
        <w:rPr>
          <w:rFonts w:ascii="Times New Roman" w:hAnsi="Times New Roman" w:eastAsia="Times New Roman" w:cs="Times New Roman"/>
          <w:position w:val="9"/>
          <w:sz w:val="18"/>
          <w:szCs w:val="18"/>
        </w:rPr>
        <w:t>1/3</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w:t>
      </w:r>
    </w:p>
    <w:p w14:paraId="07CB72F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根据爆炸事故后果评价方法中的超压准则，冲击波对人体的伤害和建筑物破坏作用如表6-3、表6-4所示。</w:t>
      </w:r>
    </w:p>
    <w:p w14:paraId="7A31CC2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表</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冲击波对人体的伤害作用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620"/>
        <w:gridCol w:w="3285"/>
        <w:gridCol w:w="2307"/>
      </w:tblGrid>
      <w:tr w14:paraId="5491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top"/>
          </w:tcPr>
          <w:p w14:paraId="7BAE999A">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序号</w:t>
            </w:r>
          </w:p>
        </w:tc>
        <w:tc>
          <w:tcPr>
            <w:tcW w:w="1440" w:type="dxa"/>
            <w:noWrap w:val="0"/>
            <w:vAlign w:val="top"/>
          </w:tcPr>
          <w:p w14:paraId="356EC959">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伤害程度</w:t>
            </w:r>
          </w:p>
        </w:tc>
        <w:tc>
          <w:tcPr>
            <w:tcW w:w="1620" w:type="dxa"/>
            <w:noWrap w:val="0"/>
            <w:vAlign w:val="top"/>
          </w:tcPr>
          <w:p w14:paraId="6F715101">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超压P（MPa）</w:t>
            </w:r>
          </w:p>
        </w:tc>
        <w:tc>
          <w:tcPr>
            <w:tcW w:w="3285" w:type="dxa"/>
            <w:noWrap w:val="0"/>
            <w:vAlign w:val="top"/>
          </w:tcPr>
          <w:p w14:paraId="7C0DE6AB">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伤害情况</w:t>
            </w:r>
          </w:p>
        </w:tc>
        <w:tc>
          <w:tcPr>
            <w:tcW w:w="2307" w:type="dxa"/>
            <w:noWrap w:val="0"/>
            <w:vAlign w:val="top"/>
          </w:tcPr>
          <w:p w14:paraId="6556F8D2">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伤害距离（m）</w:t>
            </w:r>
          </w:p>
        </w:tc>
      </w:tr>
      <w:tr w14:paraId="726D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top"/>
          </w:tcPr>
          <w:p w14:paraId="0D48242B">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1</w:t>
            </w:r>
          </w:p>
        </w:tc>
        <w:tc>
          <w:tcPr>
            <w:tcW w:w="1440" w:type="dxa"/>
            <w:noWrap w:val="0"/>
            <w:vAlign w:val="top"/>
          </w:tcPr>
          <w:p w14:paraId="411A6FCB">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轻微</w:t>
            </w:r>
          </w:p>
        </w:tc>
        <w:tc>
          <w:tcPr>
            <w:tcW w:w="1620" w:type="dxa"/>
            <w:noWrap w:val="0"/>
            <w:vAlign w:val="top"/>
          </w:tcPr>
          <w:p w14:paraId="74F25007">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0.02～0.03</w:t>
            </w:r>
          </w:p>
        </w:tc>
        <w:tc>
          <w:tcPr>
            <w:tcW w:w="3285" w:type="dxa"/>
            <w:noWrap w:val="0"/>
            <w:vAlign w:val="top"/>
          </w:tcPr>
          <w:p w14:paraId="4E5CADD6">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轻微挫伤</w:t>
            </w:r>
          </w:p>
        </w:tc>
        <w:tc>
          <w:tcPr>
            <w:tcW w:w="2307" w:type="dxa"/>
            <w:noWrap w:val="0"/>
            <w:vAlign w:val="top"/>
          </w:tcPr>
          <w:p w14:paraId="1ECD87EF">
            <w:pPr>
              <w:spacing w:line="380" w:lineRule="exact"/>
              <w:jc w:val="center"/>
              <w:rPr>
                <w:rFonts w:hint="default"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6.43</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5.62</w:t>
            </w:r>
          </w:p>
        </w:tc>
      </w:tr>
      <w:tr w14:paraId="5BB6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0"/>
            <w:vAlign w:val="top"/>
          </w:tcPr>
          <w:p w14:paraId="700BED7F">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2</w:t>
            </w:r>
          </w:p>
        </w:tc>
        <w:tc>
          <w:tcPr>
            <w:tcW w:w="1440" w:type="dxa"/>
            <w:noWrap w:val="0"/>
            <w:vAlign w:val="top"/>
          </w:tcPr>
          <w:p w14:paraId="728E959D">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中等</w:t>
            </w:r>
          </w:p>
        </w:tc>
        <w:tc>
          <w:tcPr>
            <w:tcW w:w="1620" w:type="dxa"/>
            <w:noWrap w:val="0"/>
            <w:vAlign w:val="top"/>
          </w:tcPr>
          <w:p w14:paraId="102423C2">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0.03～0.05</w:t>
            </w:r>
          </w:p>
        </w:tc>
        <w:tc>
          <w:tcPr>
            <w:tcW w:w="3285" w:type="dxa"/>
            <w:noWrap w:val="0"/>
            <w:vAlign w:val="top"/>
          </w:tcPr>
          <w:p w14:paraId="20528173">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听觉、气管损伤、中等挫伤、骨折</w:t>
            </w:r>
          </w:p>
        </w:tc>
        <w:tc>
          <w:tcPr>
            <w:tcW w:w="2307" w:type="dxa"/>
            <w:noWrap w:val="0"/>
            <w:vAlign w:val="top"/>
          </w:tcPr>
          <w:p w14:paraId="35E108BD">
            <w:pPr>
              <w:spacing w:line="380" w:lineRule="exact"/>
              <w:jc w:val="center"/>
              <w:rPr>
                <w:rFonts w:hint="default"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5.62</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4.74</w:t>
            </w:r>
          </w:p>
        </w:tc>
      </w:tr>
      <w:tr w14:paraId="789D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20" w:type="dxa"/>
            <w:noWrap w:val="0"/>
            <w:vAlign w:val="top"/>
          </w:tcPr>
          <w:p w14:paraId="39BF3DF3">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3</w:t>
            </w:r>
          </w:p>
        </w:tc>
        <w:tc>
          <w:tcPr>
            <w:tcW w:w="1440" w:type="dxa"/>
            <w:noWrap w:val="0"/>
            <w:vAlign w:val="top"/>
          </w:tcPr>
          <w:p w14:paraId="486B46CD">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严重</w:t>
            </w:r>
          </w:p>
        </w:tc>
        <w:tc>
          <w:tcPr>
            <w:tcW w:w="1620" w:type="dxa"/>
            <w:noWrap w:val="0"/>
            <w:vAlign w:val="top"/>
          </w:tcPr>
          <w:p w14:paraId="74029EB7">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0.05～0.1</w:t>
            </w:r>
          </w:p>
        </w:tc>
        <w:tc>
          <w:tcPr>
            <w:tcW w:w="3285" w:type="dxa"/>
            <w:noWrap w:val="0"/>
            <w:vAlign w:val="top"/>
          </w:tcPr>
          <w:p w14:paraId="4133E2FF">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内脏严重挫伤，可能造成死亡</w:t>
            </w:r>
          </w:p>
        </w:tc>
        <w:tc>
          <w:tcPr>
            <w:tcW w:w="2307" w:type="dxa"/>
            <w:noWrap w:val="0"/>
            <w:vAlign w:val="top"/>
          </w:tcPr>
          <w:p w14:paraId="10628546">
            <w:pPr>
              <w:spacing w:line="380" w:lineRule="exact"/>
              <w:jc w:val="center"/>
              <w:rPr>
                <w:rFonts w:hint="default"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4.74</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3.76</w:t>
            </w:r>
          </w:p>
        </w:tc>
      </w:tr>
      <w:tr w14:paraId="3046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20" w:type="dxa"/>
            <w:noWrap w:val="0"/>
            <w:vAlign w:val="top"/>
          </w:tcPr>
          <w:p w14:paraId="42825A85">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4</w:t>
            </w:r>
          </w:p>
        </w:tc>
        <w:tc>
          <w:tcPr>
            <w:tcW w:w="1440" w:type="dxa"/>
            <w:noWrap w:val="0"/>
            <w:vAlign w:val="top"/>
          </w:tcPr>
          <w:p w14:paraId="452702BF">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极严重</w:t>
            </w:r>
          </w:p>
        </w:tc>
        <w:tc>
          <w:tcPr>
            <w:tcW w:w="1620" w:type="dxa"/>
            <w:noWrap w:val="0"/>
            <w:vAlign w:val="top"/>
          </w:tcPr>
          <w:p w14:paraId="2F68F628">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＞0.1</w:t>
            </w:r>
          </w:p>
        </w:tc>
        <w:tc>
          <w:tcPr>
            <w:tcW w:w="3285" w:type="dxa"/>
            <w:noWrap w:val="0"/>
            <w:vAlign w:val="top"/>
          </w:tcPr>
          <w:p w14:paraId="6B041162">
            <w:pPr>
              <w:spacing w:line="380" w:lineRule="exact"/>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大部分人死亡</w:t>
            </w:r>
          </w:p>
        </w:tc>
        <w:tc>
          <w:tcPr>
            <w:tcW w:w="2307" w:type="dxa"/>
            <w:noWrap w:val="0"/>
            <w:vAlign w:val="top"/>
          </w:tcPr>
          <w:p w14:paraId="6ABAEC92">
            <w:pPr>
              <w:spacing w:line="380" w:lineRule="exact"/>
              <w:jc w:val="center"/>
              <w:rPr>
                <w:rFonts w:hint="default"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＜3.76</w:t>
            </w:r>
          </w:p>
        </w:tc>
      </w:tr>
    </w:tbl>
    <w:p w14:paraId="7780E766">
      <w:pPr>
        <w:tabs>
          <w:tab w:val="left" w:pos="3168"/>
        </w:tabs>
        <w:adjustRightInd w:val="0"/>
        <w:snapToGrid w:val="0"/>
        <w:jc w:val="center"/>
        <w:rPr>
          <w:rFonts w:hint="eastAsia" w:ascii="宋体" w:hAnsi="宋体" w:cs="宋体"/>
          <w:color w:val="000000" w:themeColor="text1"/>
          <w:sz w:val="24"/>
          <w14:textFill>
            <w14:solidFill>
              <w14:schemeClr w14:val="tx1"/>
            </w14:solidFill>
          </w14:textFill>
        </w:rPr>
      </w:pPr>
    </w:p>
    <w:p w14:paraId="3DBA91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表</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冲击波对建筑物的伤害作用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4225"/>
        <w:gridCol w:w="2517"/>
      </w:tblGrid>
      <w:tr w14:paraId="105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0" w:type="dxa"/>
            <w:noWrap w:val="0"/>
            <w:tcMar>
              <w:top w:w="28" w:type="dxa"/>
              <w:left w:w="28" w:type="dxa"/>
              <w:bottom w:w="28" w:type="dxa"/>
              <w:right w:w="28" w:type="dxa"/>
            </w:tcMar>
            <w:vAlign w:val="center"/>
          </w:tcPr>
          <w:p w14:paraId="08C67EE9">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超压P（MPa）</w:t>
            </w:r>
          </w:p>
        </w:tc>
        <w:tc>
          <w:tcPr>
            <w:tcW w:w="4225" w:type="dxa"/>
            <w:noWrap w:val="0"/>
            <w:tcMar>
              <w:top w:w="28" w:type="dxa"/>
              <w:left w:w="28" w:type="dxa"/>
              <w:bottom w:w="28" w:type="dxa"/>
              <w:right w:w="28" w:type="dxa"/>
            </w:tcMar>
            <w:vAlign w:val="center"/>
          </w:tcPr>
          <w:p w14:paraId="4FBAB37D">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破坏作用</w:t>
            </w:r>
          </w:p>
        </w:tc>
        <w:tc>
          <w:tcPr>
            <w:tcW w:w="2517" w:type="dxa"/>
            <w:noWrap w:val="0"/>
            <w:tcMar>
              <w:top w:w="28" w:type="dxa"/>
              <w:left w:w="28" w:type="dxa"/>
              <w:bottom w:w="28" w:type="dxa"/>
              <w:right w:w="28" w:type="dxa"/>
            </w:tcMar>
            <w:vAlign w:val="center"/>
          </w:tcPr>
          <w:p w14:paraId="70A1B409">
            <w:pPr>
              <w:spacing w:line="380" w:lineRule="exact"/>
              <w:jc w:val="center"/>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伤害距离（m）</w:t>
            </w:r>
          </w:p>
        </w:tc>
      </w:tr>
      <w:tr w14:paraId="569B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dxa"/>
            <w:noWrap w:val="0"/>
            <w:tcMar>
              <w:top w:w="28" w:type="dxa"/>
              <w:left w:w="28" w:type="dxa"/>
              <w:bottom w:w="28" w:type="dxa"/>
              <w:right w:w="28" w:type="dxa"/>
            </w:tcMar>
            <w:vAlign w:val="center"/>
          </w:tcPr>
          <w:p w14:paraId="2240FFDE">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0.005～0.006</w:t>
            </w:r>
          </w:p>
        </w:tc>
        <w:tc>
          <w:tcPr>
            <w:tcW w:w="4225" w:type="dxa"/>
            <w:noWrap w:val="0"/>
            <w:tcMar>
              <w:top w:w="28" w:type="dxa"/>
              <w:left w:w="28" w:type="dxa"/>
              <w:bottom w:w="28" w:type="dxa"/>
              <w:right w:w="28" w:type="dxa"/>
            </w:tcMar>
            <w:vAlign w:val="center"/>
          </w:tcPr>
          <w:p w14:paraId="393DFFE8">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门窗玻璃部分破碎</w:t>
            </w:r>
          </w:p>
        </w:tc>
        <w:tc>
          <w:tcPr>
            <w:tcW w:w="2517" w:type="dxa"/>
            <w:noWrap w:val="0"/>
            <w:tcMar>
              <w:top w:w="28" w:type="dxa"/>
              <w:left w:w="28" w:type="dxa"/>
              <w:bottom w:w="28" w:type="dxa"/>
              <w:right w:w="28" w:type="dxa"/>
            </w:tcMar>
            <w:vAlign w:val="center"/>
          </w:tcPr>
          <w:p w14:paraId="51511C9F">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10.21</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9.61</w:t>
            </w:r>
          </w:p>
        </w:tc>
      </w:tr>
      <w:tr w14:paraId="6B61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500" w:type="dxa"/>
            <w:noWrap w:val="0"/>
            <w:tcMar>
              <w:top w:w="28" w:type="dxa"/>
              <w:left w:w="28" w:type="dxa"/>
              <w:bottom w:w="28" w:type="dxa"/>
              <w:right w:w="28" w:type="dxa"/>
            </w:tcMar>
            <w:vAlign w:val="center"/>
          </w:tcPr>
          <w:p w14:paraId="3F10BB3E">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0.006～0.015</w:t>
            </w:r>
          </w:p>
        </w:tc>
        <w:tc>
          <w:tcPr>
            <w:tcW w:w="4225" w:type="dxa"/>
            <w:noWrap w:val="0"/>
            <w:tcMar>
              <w:top w:w="28" w:type="dxa"/>
              <w:left w:w="28" w:type="dxa"/>
              <w:bottom w:w="28" w:type="dxa"/>
              <w:right w:w="28" w:type="dxa"/>
            </w:tcMar>
            <w:vAlign w:val="center"/>
          </w:tcPr>
          <w:p w14:paraId="469BD506">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受压面的门窗玻璃大部分破碎</w:t>
            </w:r>
          </w:p>
        </w:tc>
        <w:tc>
          <w:tcPr>
            <w:tcW w:w="2517" w:type="dxa"/>
            <w:noWrap w:val="0"/>
            <w:tcMar>
              <w:top w:w="28" w:type="dxa"/>
              <w:left w:w="28" w:type="dxa"/>
              <w:bottom w:w="28" w:type="dxa"/>
              <w:right w:w="28" w:type="dxa"/>
            </w:tcMar>
            <w:vAlign w:val="center"/>
          </w:tcPr>
          <w:p w14:paraId="25D4F8FF">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9.61</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7.08</w:t>
            </w:r>
          </w:p>
        </w:tc>
      </w:tr>
      <w:tr w14:paraId="637C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0" w:type="dxa"/>
            <w:noWrap w:val="0"/>
            <w:tcMar>
              <w:top w:w="28" w:type="dxa"/>
              <w:left w:w="28" w:type="dxa"/>
              <w:bottom w:w="28" w:type="dxa"/>
              <w:right w:w="28" w:type="dxa"/>
            </w:tcMar>
            <w:vAlign w:val="center"/>
          </w:tcPr>
          <w:p w14:paraId="312CFF6D">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0.015～0.02</w:t>
            </w:r>
          </w:p>
        </w:tc>
        <w:tc>
          <w:tcPr>
            <w:tcW w:w="4225" w:type="dxa"/>
            <w:noWrap w:val="0"/>
            <w:tcMar>
              <w:top w:w="28" w:type="dxa"/>
              <w:left w:w="28" w:type="dxa"/>
              <w:bottom w:w="28" w:type="dxa"/>
              <w:right w:w="28" w:type="dxa"/>
            </w:tcMar>
            <w:vAlign w:val="center"/>
          </w:tcPr>
          <w:p w14:paraId="5B4A83BB">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窗框损坏</w:t>
            </w:r>
          </w:p>
        </w:tc>
        <w:tc>
          <w:tcPr>
            <w:tcW w:w="2517" w:type="dxa"/>
            <w:noWrap w:val="0"/>
            <w:tcMar>
              <w:top w:w="28" w:type="dxa"/>
              <w:left w:w="28" w:type="dxa"/>
              <w:bottom w:w="28" w:type="dxa"/>
              <w:right w:w="28" w:type="dxa"/>
            </w:tcMar>
            <w:vAlign w:val="center"/>
          </w:tcPr>
          <w:p w14:paraId="6A74CE04">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7.08</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6.43</w:t>
            </w:r>
          </w:p>
        </w:tc>
      </w:tr>
      <w:tr w14:paraId="2A5B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500" w:type="dxa"/>
            <w:noWrap w:val="0"/>
            <w:tcMar>
              <w:top w:w="28" w:type="dxa"/>
              <w:left w:w="28" w:type="dxa"/>
              <w:bottom w:w="28" w:type="dxa"/>
              <w:right w:w="28" w:type="dxa"/>
            </w:tcMar>
            <w:vAlign w:val="center"/>
          </w:tcPr>
          <w:p w14:paraId="5DB16BC4">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0.02～0.03</w:t>
            </w:r>
          </w:p>
        </w:tc>
        <w:tc>
          <w:tcPr>
            <w:tcW w:w="4225" w:type="dxa"/>
            <w:noWrap w:val="0"/>
            <w:tcMar>
              <w:top w:w="28" w:type="dxa"/>
              <w:left w:w="28" w:type="dxa"/>
              <w:bottom w:w="28" w:type="dxa"/>
              <w:right w:w="28" w:type="dxa"/>
            </w:tcMar>
            <w:vAlign w:val="center"/>
          </w:tcPr>
          <w:p w14:paraId="61E20D50">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墙裂缝</w:t>
            </w:r>
          </w:p>
        </w:tc>
        <w:tc>
          <w:tcPr>
            <w:tcW w:w="2517" w:type="dxa"/>
            <w:noWrap w:val="0"/>
            <w:tcMar>
              <w:top w:w="28" w:type="dxa"/>
              <w:left w:w="28" w:type="dxa"/>
              <w:bottom w:w="28" w:type="dxa"/>
              <w:right w:w="28" w:type="dxa"/>
            </w:tcMar>
            <w:vAlign w:val="center"/>
          </w:tcPr>
          <w:p w14:paraId="2D46C1D0">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6.43</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5.62</w:t>
            </w:r>
          </w:p>
        </w:tc>
      </w:tr>
      <w:tr w14:paraId="44AF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0" w:type="dxa"/>
            <w:noWrap w:val="0"/>
            <w:tcMar>
              <w:top w:w="28" w:type="dxa"/>
              <w:left w:w="28" w:type="dxa"/>
              <w:bottom w:w="28" w:type="dxa"/>
              <w:right w:w="28" w:type="dxa"/>
            </w:tcMar>
            <w:vAlign w:val="center"/>
          </w:tcPr>
          <w:p w14:paraId="03AA80BD">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0.04～0.05</w:t>
            </w:r>
          </w:p>
        </w:tc>
        <w:tc>
          <w:tcPr>
            <w:tcW w:w="4225" w:type="dxa"/>
            <w:noWrap w:val="0"/>
            <w:tcMar>
              <w:top w:w="28" w:type="dxa"/>
              <w:left w:w="28" w:type="dxa"/>
              <w:bottom w:w="28" w:type="dxa"/>
              <w:right w:w="28" w:type="dxa"/>
            </w:tcMar>
            <w:vAlign w:val="center"/>
          </w:tcPr>
          <w:p w14:paraId="76215C36">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墙大裂缝，房瓦掉下</w:t>
            </w:r>
          </w:p>
        </w:tc>
        <w:tc>
          <w:tcPr>
            <w:tcW w:w="2517" w:type="dxa"/>
            <w:noWrap w:val="0"/>
            <w:tcMar>
              <w:top w:w="28" w:type="dxa"/>
              <w:left w:w="28" w:type="dxa"/>
              <w:bottom w:w="28" w:type="dxa"/>
              <w:right w:w="28" w:type="dxa"/>
            </w:tcMar>
            <w:vAlign w:val="center"/>
          </w:tcPr>
          <w:p w14:paraId="3F7A7D4C">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5.11</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4.74</w:t>
            </w:r>
          </w:p>
        </w:tc>
      </w:tr>
      <w:tr w14:paraId="4E8F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0" w:type="dxa"/>
            <w:noWrap w:val="0"/>
            <w:tcMar>
              <w:top w:w="28" w:type="dxa"/>
              <w:left w:w="28" w:type="dxa"/>
              <w:bottom w:w="28" w:type="dxa"/>
              <w:right w:w="28" w:type="dxa"/>
            </w:tcMar>
            <w:vAlign w:val="center"/>
          </w:tcPr>
          <w:p w14:paraId="3C1CCF0B">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0.06～0.07</w:t>
            </w:r>
          </w:p>
        </w:tc>
        <w:tc>
          <w:tcPr>
            <w:tcW w:w="4225" w:type="dxa"/>
            <w:noWrap w:val="0"/>
            <w:tcMar>
              <w:top w:w="28" w:type="dxa"/>
              <w:left w:w="28" w:type="dxa"/>
              <w:bottom w:w="28" w:type="dxa"/>
              <w:right w:w="28" w:type="dxa"/>
            </w:tcMar>
            <w:vAlign w:val="center"/>
          </w:tcPr>
          <w:p w14:paraId="37B840C4">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木建筑厂房房柱折断，房架松动</w:t>
            </w:r>
          </w:p>
        </w:tc>
        <w:tc>
          <w:tcPr>
            <w:tcW w:w="2517" w:type="dxa"/>
            <w:noWrap w:val="0"/>
            <w:tcMar>
              <w:top w:w="28" w:type="dxa"/>
              <w:left w:w="28" w:type="dxa"/>
              <w:bottom w:w="28" w:type="dxa"/>
              <w:right w:w="28" w:type="dxa"/>
            </w:tcMar>
            <w:vAlign w:val="center"/>
          </w:tcPr>
          <w:p w14:paraId="7F859EA1">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4.46</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4.24</w:t>
            </w:r>
          </w:p>
        </w:tc>
      </w:tr>
      <w:tr w14:paraId="6267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0" w:type="dxa"/>
            <w:noWrap w:val="0"/>
            <w:tcMar>
              <w:top w:w="28" w:type="dxa"/>
              <w:left w:w="28" w:type="dxa"/>
              <w:bottom w:w="28" w:type="dxa"/>
              <w:right w:w="28" w:type="dxa"/>
            </w:tcMar>
            <w:vAlign w:val="center"/>
          </w:tcPr>
          <w:p w14:paraId="0C0814DD">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0.07～0.1</w:t>
            </w:r>
          </w:p>
        </w:tc>
        <w:tc>
          <w:tcPr>
            <w:tcW w:w="4225" w:type="dxa"/>
            <w:noWrap w:val="0"/>
            <w:tcMar>
              <w:top w:w="28" w:type="dxa"/>
              <w:left w:w="28" w:type="dxa"/>
              <w:bottom w:w="28" w:type="dxa"/>
              <w:right w:w="28" w:type="dxa"/>
            </w:tcMar>
            <w:vAlign w:val="center"/>
          </w:tcPr>
          <w:p w14:paraId="153556CA">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砖墙倒塌</w:t>
            </w:r>
          </w:p>
        </w:tc>
        <w:tc>
          <w:tcPr>
            <w:tcW w:w="2517" w:type="dxa"/>
            <w:noWrap w:val="0"/>
            <w:tcMar>
              <w:top w:w="28" w:type="dxa"/>
              <w:left w:w="28" w:type="dxa"/>
              <w:bottom w:w="28" w:type="dxa"/>
              <w:right w:w="28" w:type="dxa"/>
            </w:tcMar>
            <w:vAlign w:val="center"/>
          </w:tcPr>
          <w:p w14:paraId="62C50B7B">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4.24</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3.76</w:t>
            </w:r>
          </w:p>
        </w:tc>
      </w:tr>
      <w:tr w14:paraId="6C69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0" w:type="dxa"/>
            <w:noWrap w:val="0"/>
            <w:tcMar>
              <w:top w:w="28" w:type="dxa"/>
              <w:left w:w="28" w:type="dxa"/>
              <w:bottom w:w="28" w:type="dxa"/>
              <w:right w:w="28" w:type="dxa"/>
            </w:tcMar>
            <w:vAlign w:val="center"/>
          </w:tcPr>
          <w:p w14:paraId="50BD5545">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0.1～0.2</w:t>
            </w:r>
          </w:p>
        </w:tc>
        <w:tc>
          <w:tcPr>
            <w:tcW w:w="4225" w:type="dxa"/>
            <w:noWrap w:val="0"/>
            <w:tcMar>
              <w:top w:w="28" w:type="dxa"/>
              <w:left w:w="28" w:type="dxa"/>
              <w:bottom w:w="28" w:type="dxa"/>
              <w:right w:w="28" w:type="dxa"/>
            </w:tcMar>
            <w:vAlign w:val="center"/>
          </w:tcPr>
          <w:p w14:paraId="687B8FB3">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防震钢筋混凝土破坏，小房屋倒塌</w:t>
            </w:r>
          </w:p>
        </w:tc>
        <w:tc>
          <w:tcPr>
            <w:tcW w:w="2517" w:type="dxa"/>
            <w:noWrap w:val="0"/>
            <w:tcMar>
              <w:top w:w="28" w:type="dxa"/>
              <w:left w:w="28" w:type="dxa"/>
              <w:bottom w:w="28" w:type="dxa"/>
              <w:right w:w="28" w:type="dxa"/>
            </w:tcMar>
            <w:vAlign w:val="center"/>
          </w:tcPr>
          <w:p w14:paraId="42D62765">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3.76</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2.99</w:t>
            </w:r>
          </w:p>
        </w:tc>
      </w:tr>
      <w:tr w14:paraId="559E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00" w:type="dxa"/>
            <w:noWrap w:val="0"/>
            <w:tcMar>
              <w:top w:w="28" w:type="dxa"/>
              <w:left w:w="28" w:type="dxa"/>
              <w:bottom w:w="28" w:type="dxa"/>
              <w:right w:w="28" w:type="dxa"/>
            </w:tcMar>
            <w:vAlign w:val="center"/>
          </w:tcPr>
          <w:p w14:paraId="3BFD3F29">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0.2～0.3</w:t>
            </w:r>
          </w:p>
        </w:tc>
        <w:tc>
          <w:tcPr>
            <w:tcW w:w="4225" w:type="dxa"/>
            <w:noWrap w:val="0"/>
            <w:tcMar>
              <w:top w:w="28" w:type="dxa"/>
              <w:left w:w="28" w:type="dxa"/>
              <w:bottom w:w="28" w:type="dxa"/>
              <w:right w:w="28" w:type="dxa"/>
            </w:tcMar>
            <w:vAlign w:val="center"/>
          </w:tcPr>
          <w:p w14:paraId="007FC808">
            <w:pPr>
              <w:spacing w:line="380" w:lineRule="exact"/>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大型钢架结构破坏</w:t>
            </w:r>
          </w:p>
        </w:tc>
        <w:tc>
          <w:tcPr>
            <w:tcW w:w="2517" w:type="dxa"/>
            <w:noWrap w:val="0"/>
            <w:tcMar>
              <w:top w:w="28" w:type="dxa"/>
              <w:left w:w="28" w:type="dxa"/>
              <w:bottom w:w="28" w:type="dxa"/>
              <w:right w:w="28" w:type="dxa"/>
            </w:tcMar>
            <w:vAlign w:val="center"/>
          </w:tcPr>
          <w:p w14:paraId="49B6BF54">
            <w:pPr>
              <w:spacing w:line="380" w:lineRule="exac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2.99</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cstheme="minorEastAsia"/>
                <w:color w:val="000000" w:themeColor="text1"/>
                <w:sz w:val="21"/>
                <w:szCs w:val="21"/>
                <w:lang w:val="en-US" w:eastAsia="zh-CN"/>
                <w14:textFill>
                  <w14:solidFill>
                    <w14:schemeClr w14:val="tx1"/>
                  </w14:solidFill>
                </w14:textFill>
              </w:rPr>
              <w:t>2.61</w:t>
            </w:r>
          </w:p>
        </w:tc>
      </w:tr>
    </w:tbl>
    <w:p w14:paraId="5A359A4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对加油站埋地储油罐进行爆炸冲击波后果模拟计算，当爆炸冲击波超压小于0.02MPa时，人员方能免于损伤，此时的安全距离为6.43m；当爆炸冲击波超压小于0.005MPa时，建筑物才可能免于遭受破坏，此时的安全距离为10.21m。即加油站储罐区周边10.21m范围内为爆炸冲击波危害区域。</w:t>
      </w:r>
    </w:p>
    <w:p w14:paraId="1C32DDE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根据项目总平面布置，若埋地汽油罐发生爆炸，则油罐区内的作业人员将出现死亡，站内距离油罐区4.74m范围内的人员内脏严重损伤,5.62m范围内的人员听觉器官受损或骨折，6.43m范围内的人员出现轻微损伤。</w:t>
      </w:r>
    </w:p>
    <w:p w14:paraId="0CC943D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油罐爆炸影响已超出围墙，油罐在安装过程中已采取相关的安全技术措施，当油品发生泄漏时，能及时发现，此外加油站制定了相关的安全管理对策措施，加强加油站围墙周围的巡查,在加油站内设置禁止烟火标志制定了加油站现场管理制度，采用的安全技术措施及管理措施能够有效减少和控制事故的发生。</w:t>
      </w:r>
    </w:p>
    <w:p w14:paraId="7AB53985">
      <w:pPr>
        <w:tabs>
          <w:tab w:val="left" w:pos="796"/>
        </w:tabs>
        <w:bidi w:val="0"/>
        <w:jc w:val="left"/>
        <w:rPr>
          <w:rFonts w:hint="eastAsia"/>
          <w:lang w:val="en-US" w:eastAsia="zh-CN"/>
        </w:rPr>
      </w:pPr>
    </w:p>
    <w:p w14:paraId="20A864DB">
      <w:pPr>
        <w:bidi w:val="0"/>
        <w:rPr>
          <w:rFonts w:hint="eastAsia" w:ascii="Times New Roman" w:hAnsi="Times New Roman" w:eastAsia="宋体" w:cs="Times New Roman"/>
          <w:kern w:val="2"/>
          <w:sz w:val="21"/>
          <w:szCs w:val="24"/>
          <w:lang w:val="en-US" w:eastAsia="zh-CN" w:bidi="ar-SA"/>
        </w:rPr>
      </w:pPr>
    </w:p>
    <w:p w14:paraId="35EF850D">
      <w:pPr>
        <w:bidi w:val="0"/>
        <w:rPr>
          <w:rFonts w:hint="eastAsia"/>
          <w:lang w:val="en-US" w:eastAsia="zh-CN"/>
        </w:rPr>
      </w:pPr>
    </w:p>
    <w:p w14:paraId="439C61D5">
      <w:pPr>
        <w:bidi w:val="0"/>
        <w:rPr>
          <w:rFonts w:hint="eastAsia"/>
          <w:lang w:val="en-US" w:eastAsia="zh-CN"/>
        </w:rPr>
      </w:pPr>
    </w:p>
    <w:p w14:paraId="453304E6">
      <w:pPr>
        <w:bidi w:val="0"/>
        <w:rPr>
          <w:rFonts w:hint="eastAsia"/>
          <w:lang w:val="en-US" w:eastAsia="zh-CN"/>
        </w:rPr>
      </w:pPr>
    </w:p>
    <w:p w14:paraId="68619A52">
      <w:pPr>
        <w:bidi w:val="0"/>
        <w:rPr>
          <w:rFonts w:hint="eastAsia"/>
          <w:lang w:val="en-US" w:eastAsia="zh-CN"/>
        </w:rPr>
      </w:pPr>
    </w:p>
    <w:p w14:paraId="3A8CCA9F">
      <w:pPr>
        <w:bidi w:val="0"/>
        <w:rPr>
          <w:rFonts w:hint="eastAsia"/>
          <w:lang w:val="en-US" w:eastAsia="zh-CN"/>
        </w:rPr>
      </w:pPr>
    </w:p>
    <w:p w14:paraId="599D1A19">
      <w:pPr>
        <w:bidi w:val="0"/>
        <w:rPr>
          <w:rFonts w:hint="eastAsia"/>
          <w:lang w:val="en-US" w:eastAsia="zh-CN"/>
        </w:rPr>
      </w:pPr>
    </w:p>
    <w:p w14:paraId="46CF1A14">
      <w:pPr>
        <w:bidi w:val="0"/>
        <w:rPr>
          <w:rFonts w:hint="eastAsia"/>
          <w:lang w:val="en-US" w:eastAsia="zh-CN"/>
        </w:rPr>
      </w:pPr>
    </w:p>
    <w:p w14:paraId="4AF23B1B">
      <w:pPr>
        <w:bidi w:val="0"/>
        <w:rPr>
          <w:rFonts w:hint="eastAsia"/>
          <w:lang w:val="en-US" w:eastAsia="zh-CN"/>
        </w:rPr>
      </w:pPr>
    </w:p>
    <w:p w14:paraId="6DD04AC6">
      <w:pPr>
        <w:bidi w:val="0"/>
        <w:rPr>
          <w:rFonts w:hint="eastAsia"/>
          <w:lang w:val="en-US" w:eastAsia="zh-CN"/>
        </w:rPr>
      </w:pPr>
    </w:p>
    <w:p w14:paraId="1AFCAC01">
      <w:pPr>
        <w:bidi w:val="0"/>
        <w:rPr>
          <w:rFonts w:hint="eastAsia"/>
          <w:lang w:val="en-US" w:eastAsia="zh-CN"/>
        </w:rPr>
      </w:pPr>
    </w:p>
    <w:p w14:paraId="0BCF4E17">
      <w:pPr>
        <w:bidi w:val="0"/>
        <w:rPr>
          <w:rFonts w:hint="eastAsia"/>
          <w:lang w:val="en-US" w:eastAsia="zh-CN"/>
        </w:rPr>
      </w:pPr>
    </w:p>
    <w:p w14:paraId="249D35D0">
      <w:pPr>
        <w:bidi w:val="0"/>
        <w:rPr>
          <w:rFonts w:hint="eastAsia"/>
          <w:lang w:val="en-US" w:eastAsia="zh-CN"/>
        </w:rPr>
      </w:pPr>
    </w:p>
    <w:p w14:paraId="596F591B">
      <w:pPr>
        <w:bidi w:val="0"/>
        <w:rPr>
          <w:rFonts w:hint="eastAsia"/>
          <w:lang w:val="en-US" w:eastAsia="zh-CN"/>
        </w:rPr>
      </w:pPr>
    </w:p>
    <w:p w14:paraId="576EEB67">
      <w:pPr>
        <w:tabs>
          <w:tab w:val="left" w:pos="1006"/>
        </w:tabs>
        <w:bidi w:val="0"/>
        <w:jc w:val="left"/>
        <w:rPr>
          <w:rFonts w:hint="eastAsia"/>
          <w:lang w:val="en-US" w:eastAsia="zh-CN"/>
        </w:rPr>
      </w:pPr>
      <w:r>
        <w:rPr>
          <w:rFonts w:hint="eastAsia"/>
          <w:lang w:val="en-US" w:eastAsia="zh-CN"/>
        </w:rPr>
        <w:tab/>
      </w:r>
    </w:p>
    <w:p w14:paraId="27EBFAFA">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bookmarkStart w:id="420" w:name="_Toc1724"/>
      <w:bookmarkStart w:id="421" w:name="_Toc26366"/>
      <w:bookmarkStart w:id="422" w:name="_Toc14797"/>
      <w:bookmarkStart w:id="423" w:name="_Toc12390"/>
      <w:r>
        <w:rPr>
          <w:rFonts w:hint="eastAsia" w:ascii="宋体" w:hAnsi="宋体" w:eastAsia="宋体" w:cs="宋体"/>
          <w:b/>
          <w:lang w:val="en-US" w:eastAsia="zh-CN"/>
        </w:rPr>
        <w:t>第7章安全检查评价</w:t>
      </w:r>
      <w:bookmarkEnd w:id="420"/>
      <w:bookmarkEnd w:id="421"/>
      <w:bookmarkEnd w:id="422"/>
      <w:bookmarkEnd w:id="423"/>
    </w:p>
    <w:p w14:paraId="7DD5367D">
      <w:pPr>
        <w:pStyle w:val="2"/>
        <w:keepNext/>
        <w:keepLines/>
        <w:pageBreakBefore w:val="0"/>
        <w:widowControl w:val="0"/>
        <w:kinsoku/>
        <w:wordWrap/>
        <w:overflowPunct/>
        <w:topLinePunct w:val="0"/>
        <w:autoSpaceDE/>
        <w:autoSpaceDN/>
        <w:bidi w:val="0"/>
        <w:adjustRightInd/>
        <w:snapToGrid/>
        <w:spacing w:before="0" w:beforeLines="0" w:after="0" w:afterLines="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424" w:name="_Toc20635"/>
      <w:bookmarkStart w:id="425" w:name="_Toc19920"/>
      <w:bookmarkStart w:id="426" w:name="_Toc19686"/>
      <w:r>
        <w:rPr>
          <w:rFonts w:hint="eastAsia" w:ascii="宋体" w:hAnsi="宋体" w:eastAsia="宋体" w:cs="宋体"/>
          <w:b/>
          <w:smallCaps/>
          <w:color w:val="auto"/>
          <w:kern w:val="0"/>
          <w:sz w:val="32"/>
          <w:szCs w:val="32"/>
          <w:lang w:val="en-US" w:eastAsia="zh-CN"/>
        </w:rPr>
        <w:t>7.1站址与总平面布置评价单元</w:t>
      </w:r>
      <w:bookmarkEnd w:id="424"/>
      <w:bookmarkEnd w:id="425"/>
      <w:bookmarkEnd w:id="426"/>
      <w:bookmarkStart w:id="427" w:name="_Toc1730"/>
    </w:p>
    <w:p w14:paraId="4D1DFB0E">
      <w:pPr>
        <w:pStyle w:val="2"/>
        <w:keepNext/>
        <w:keepLines/>
        <w:pageBreakBefore w:val="0"/>
        <w:widowControl w:val="0"/>
        <w:kinsoku/>
        <w:wordWrap/>
        <w:overflowPunct/>
        <w:topLinePunct w:val="0"/>
        <w:autoSpaceDE/>
        <w:autoSpaceDN/>
        <w:bidi w:val="0"/>
        <w:adjustRightInd/>
        <w:snapToGrid/>
        <w:spacing w:before="0" w:beforeLines="0" w:after="0" w:afterLines="0" w:line="600" w:lineRule="exact"/>
        <w:jc w:val="both"/>
        <w:textAlignment w:val="auto"/>
        <w:outlineLvl w:val="2"/>
        <w:rPr>
          <w:rFonts w:hint="eastAsia" w:ascii="宋体" w:hAnsi="宋体" w:eastAsia="宋体" w:cs="宋体"/>
          <w:b/>
          <w:color w:val="000000" w:themeColor="text1"/>
          <w:sz w:val="30"/>
          <w:szCs w:val="30"/>
          <w:lang w:val="en-US" w:eastAsia="zh-CN"/>
          <w14:textFill>
            <w14:solidFill>
              <w14:schemeClr w14:val="tx1"/>
            </w14:solidFill>
          </w14:textFill>
        </w:rPr>
      </w:pPr>
      <w:bookmarkStart w:id="428" w:name="_Toc4941"/>
      <w:bookmarkStart w:id="429" w:name="_Toc16314"/>
      <w:bookmarkStart w:id="430" w:name="_Toc20931"/>
      <w:r>
        <w:rPr>
          <w:rFonts w:hint="eastAsia" w:ascii="宋体" w:hAnsi="宋体" w:eastAsia="宋体" w:cs="宋体"/>
          <w:b/>
          <w:color w:val="000000" w:themeColor="text1"/>
          <w:sz w:val="30"/>
          <w:szCs w:val="30"/>
          <w:lang w:val="en-US" w:eastAsia="zh-CN"/>
          <w14:textFill>
            <w14:solidFill>
              <w14:schemeClr w14:val="tx1"/>
            </w14:solidFill>
          </w14:textFill>
        </w:rPr>
        <w:t>7.1.1站址评价子单元</w:t>
      </w:r>
      <w:bookmarkEnd w:id="427"/>
      <w:bookmarkEnd w:id="428"/>
      <w:bookmarkEnd w:id="429"/>
      <w:bookmarkEnd w:id="430"/>
    </w:p>
    <w:p w14:paraId="643AD85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现场查勘和《汽车加油加气加氢站技术标准》（GB50156-2021）等标准、规范要求，对该加油站站址进行分析评价，具体过程见表7-1站址安全检查表和表汽油设备与站外建（构）筑物的安全间距、表柴油设备与站外建（构）筑物的安全间距。</w:t>
      </w:r>
    </w:p>
    <w:p w14:paraId="20548AA5">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表7-1站址安全检查表</w:t>
      </w:r>
    </w:p>
    <w:tbl>
      <w:tblPr>
        <w:tblStyle w:val="41"/>
        <w:tblW w:w="9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3433"/>
        <w:gridCol w:w="2463"/>
        <w:gridCol w:w="2075"/>
        <w:gridCol w:w="815"/>
      </w:tblGrid>
      <w:tr w14:paraId="52381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618" w:type="dxa"/>
            <w:vAlign w:val="center"/>
          </w:tcPr>
          <w:p w14:paraId="02790B46">
            <w:pPr>
              <w:bidi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3433" w:type="dxa"/>
            <w:vAlign w:val="center"/>
          </w:tcPr>
          <w:p w14:paraId="60888049">
            <w:pPr>
              <w:bidi w:val="0"/>
              <w:jc w:val="center"/>
              <w:rPr>
                <w:rFonts w:hint="eastAsia" w:ascii="宋体" w:hAnsi="宋体" w:eastAsia="宋体" w:cs="宋体"/>
                <w:sz w:val="21"/>
                <w:szCs w:val="21"/>
              </w:rPr>
            </w:pPr>
            <w:r>
              <w:rPr>
                <w:rFonts w:hint="eastAsia" w:ascii="宋体" w:hAnsi="宋体" w:eastAsia="宋体" w:cs="宋体"/>
                <w:sz w:val="21"/>
                <w:szCs w:val="21"/>
              </w:rPr>
              <w:t>检查内容</w:t>
            </w:r>
          </w:p>
        </w:tc>
        <w:tc>
          <w:tcPr>
            <w:tcW w:w="2463" w:type="dxa"/>
            <w:vAlign w:val="center"/>
          </w:tcPr>
          <w:p w14:paraId="1741EA09">
            <w:pPr>
              <w:bidi w:val="0"/>
              <w:jc w:val="center"/>
              <w:rPr>
                <w:rFonts w:hint="eastAsia" w:ascii="宋体" w:hAnsi="宋体" w:eastAsia="宋体" w:cs="宋体"/>
                <w:sz w:val="21"/>
                <w:szCs w:val="21"/>
              </w:rPr>
            </w:pPr>
            <w:r>
              <w:rPr>
                <w:rFonts w:hint="eastAsia" w:ascii="宋体" w:hAnsi="宋体" w:eastAsia="宋体" w:cs="宋体"/>
                <w:sz w:val="21"/>
                <w:szCs w:val="21"/>
              </w:rPr>
              <w:t>检查依据</w:t>
            </w:r>
          </w:p>
        </w:tc>
        <w:tc>
          <w:tcPr>
            <w:tcW w:w="2075" w:type="dxa"/>
            <w:vAlign w:val="center"/>
          </w:tcPr>
          <w:p w14:paraId="645C2DC4">
            <w:pPr>
              <w:bidi w:val="0"/>
              <w:jc w:val="center"/>
              <w:rPr>
                <w:rFonts w:hint="eastAsia" w:ascii="宋体" w:hAnsi="宋体" w:eastAsia="宋体" w:cs="宋体"/>
                <w:sz w:val="21"/>
                <w:szCs w:val="21"/>
              </w:rPr>
            </w:pPr>
            <w:r>
              <w:rPr>
                <w:rFonts w:hint="eastAsia" w:ascii="宋体" w:hAnsi="宋体" w:eastAsia="宋体" w:cs="宋体"/>
                <w:sz w:val="21"/>
                <w:szCs w:val="21"/>
              </w:rPr>
              <w:t>检查结果</w:t>
            </w:r>
          </w:p>
        </w:tc>
        <w:tc>
          <w:tcPr>
            <w:tcW w:w="815" w:type="dxa"/>
            <w:vAlign w:val="center"/>
          </w:tcPr>
          <w:p w14:paraId="264C5FB3">
            <w:pPr>
              <w:bidi w:val="0"/>
              <w:jc w:val="center"/>
              <w:rPr>
                <w:rFonts w:hint="eastAsia" w:ascii="宋体" w:hAnsi="宋体" w:eastAsia="宋体" w:cs="宋体"/>
                <w:sz w:val="21"/>
                <w:szCs w:val="21"/>
              </w:rPr>
            </w:pPr>
            <w:r>
              <w:rPr>
                <w:rFonts w:hint="eastAsia" w:ascii="宋体" w:hAnsi="宋体" w:eastAsia="宋体" w:cs="宋体"/>
                <w:sz w:val="21"/>
                <w:szCs w:val="21"/>
              </w:rPr>
              <w:t>结论</w:t>
            </w:r>
          </w:p>
        </w:tc>
      </w:tr>
      <w:tr w14:paraId="59C44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618" w:type="dxa"/>
            <w:vAlign w:val="center"/>
          </w:tcPr>
          <w:p w14:paraId="535A5B13">
            <w:pPr>
              <w:bidi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433" w:type="dxa"/>
            <w:vAlign w:val="center"/>
          </w:tcPr>
          <w:p w14:paraId="39ACCFDC">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汽车加油加气加氢站的站址选择应符合有关规划、环境保护和防火安全的要求，并应选在交通便利、用户使用方便的地点。</w:t>
            </w:r>
          </w:p>
        </w:tc>
        <w:tc>
          <w:tcPr>
            <w:tcW w:w="2463" w:type="dxa"/>
            <w:vAlign w:val="center"/>
          </w:tcPr>
          <w:p w14:paraId="4BF241FB">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5D2C8E67">
            <w:pPr>
              <w:bidi w:val="0"/>
              <w:jc w:val="center"/>
              <w:rPr>
                <w:rFonts w:hint="eastAsia" w:ascii="宋体" w:hAnsi="宋体" w:eastAsia="宋体" w:cs="宋体"/>
                <w:sz w:val="21"/>
                <w:szCs w:val="21"/>
              </w:rPr>
            </w:pPr>
            <w:r>
              <w:rPr>
                <w:rFonts w:hint="eastAsia" w:ascii="宋体" w:hAnsi="宋体" w:eastAsia="宋体" w:cs="宋体"/>
                <w:sz w:val="21"/>
                <w:szCs w:val="21"/>
              </w:rPr>
              <w:t>（GB50156-2021）4.0.1</w:t>
            </w:r>
          </w:p>
        </w:tc>
        <w:tc>
          <w:tcPr>
            <w:tcW w:w="2075" w:type="dxa"/>
            <w:vAlign w:val="center"/>
          </w:tcPr>
          <w:p w14:paraId="6A92DA57">
            <w:pPr>
              <w:bidi w:val="0"/>
              <w:jc w:val="center"/>
              <w:rPr>
                <w:rFonts w:hint="eastAsia" w:ascii="宋体" w:hAnsi="宋体" w:eastAsia="宋体" w:cs="宋体"/>
                <w:sz w:val="21"/>
                <w:szCs w:val="21"/>
              </w:rPr>
            </w:pPr>
            <w:r>
              <w:rPr>
                <w:rFonts w:hint="eastAsia" w:ascii="宋体" w:hAnsi="宋体" w:eastAsia="宋体" w:cs="宋体"/>
                <w:sz w:val="21"/>
                <w:szCs w:val="21"/>
              </w:rPr>
              <w:t>站址所在位置交通便利。</w:t>
            </w:r>
          </w:p>
        </w:tc>
        <w:tc>
          <w:tcPr>
            <w:tcW w:w="815" w:type="dxa"/>
            <w:vAlign w:val="center"/>
          </w:tcPr>
          <w:p w14:paraId="1DCC6F3E">
            <w:pPr>
              <w:bidi w:val="0"/>
              <w:jc w:val="center"/>
              <w:rPr>
                <w:rFonts w:hint="eastAsia" w:ascii="宋体" w:hAnsi="宋体" w:eastAsia="宋体" w:cs="宋体"/>
                <w:sz w:val="21"/>
                <w:szCs w:val="21"/>
              </w:rPr>
            </w:pPr>
          </w:p>
          <w:p w14:paraId="760CB1CB">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34E70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618" w:type="dxa"/>
            <w:vAlign w:val="center"/>
          </w:tcPr>
          <w:p w14:paraId="0693E457">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433" w:type="dxa"/>
            <w:vAlign w:val="center"/>
          </w:tcPr>
          <w:p w14:paraId="730F35E5">
            <w:pPr>
              <w:bidi w:val="0"/>
              <w:jc w:val="center"/>
              <w:rPr>
                <w:rFonts w:hint="eastAsia" w:ascii="宋体" w:hAnsi="宋体" w:eastAsia="宋体" w:cs="宋体"/>
                <w:sz w:val="21"/>
                <w:szCs w:val="21"/>
              </w:rPr>
            </w:pPr>
            <w:r>
              <w:rPr>
                <w:rFonts w:hint="eastAsia" w:ascii="宋体" w:hAnsi="宋体" w:eastAsia="宋体" w:cs="宋体"/>
                <w:sz w:val="21"/>
                <w:szCs w:val="21"/>
              </w:rPr>
              <w:t>在城市中心区内不宜建一级汽车加油加气加氢站、CNG加气母站。</w:t>
            </w:r>
          </w:p>
        </w:tc>
        <w:tc>
          <w:tcPr>
            <w:tcW w:w="2463" w:type="dxa"/>
            <w:vAlign w:val="center"/>
          </w:tcPr>
          <w:p w14:paraId="3795CAF5">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0F2BE284">
            <w:pPr>
              <w:bidi w:val="0"/>
              <w:jc w:val="center"/>
              <w:rPr>
                <w:rFonts w:hint="eastAsia" w:ascii="宋体" w:hAnsi="宋体" w:eastAsia="宋体" w:cs="宋体"/>
                <w:sz w:val="21"/>
                <w:szCs w:val="21"/>
              </w:rPr>
            </w:pPr>
            <w:r>
              <w:rPr>
                <w:rFonts w:hint="eastAsia" w:ascii="宋体" w:hAnsi="宋体" w:eastAsia="宋体" w:cs="宋体"/>
                <w:sz w:val="21"/>
                <w:szCs w:val="21"/>
              </w:rPr>
              <w:t>（GB50156-2021）4.0.2</w:t>
            </w:r>
          </w:p>
        </w:tc>
        <w:tc>
          <w:tcPr>
            <w:tcW w:w="2075" w:type="dxa"/>
            <w:vAlign w:val="center"/>
          </w:tcPr>
          <w:p w14:paraId="1BA35AAF">
            <w:pPr>
              <w:bidi w:val="0"/>
              <w:jc w:val="center"/>
              <w:rPr>
                <w:rFonts w:hint="eastAsia" w:ascii="宋体" w:hAnsi="宋体" w:eastAsia="宋体" w:cs="宋体"/>
                <w:sz w:val="21"/>
                <w:szCs w:val="21"/>
              </w:rPr>
            </w:pPr>
            <w:r>
              <w:rPr>
                <w:rFonts w:hint="eastAsia" w:ascii="宋体" w:hAnsi="宋体" w:eastAsia="宋体" w:cs="宋体"/>
                <w:color w:val="000000" w:themeColor="text1"/>
                <w:sz w:val="21"/>
                <w:szCs w:val="21"/>
                <w:shd w:val="clear" w:color="auto" w:fill="auto"/>
                <w14:textFill>
                  <w14:solidFill>
                    <w14:schemeClr w14:val="tx1"/>
                  </w14:solidFill>
                </w14:textFill>
              </w:rPr>
              <w:t>该加油站属于</w:t>
            </w:r>
            <w:r>
              <w:rPr>
                <w:rFonts w:hint="eastAsia" w:ascii="宋体" w:hAnsi="宋体" w:cs="宋体"/>
                <w:color w:val="000000" w:themeColor="text1"/>
                <w:sz w:val="21"/>
                <w:szCs w:val="21"/>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1"/>
                <w:szCs w:val="21"/>
                <w:shd w:val="clear" w:color="auto" w:fill="auto"/>
                <w14:textFill>
                  <w14:solidFill>
                    <w14:schemeClr w14:val="tx1"/>
                  </w14:solidFill>
                </w14:textFill>
              </w:rPr>
              <w:t>级加油站。</w:t>
            </w:r>
          </w:p>
        </w:tc>
        <w:tc>
          <w:tcPr>
            <w:tcW w:w="815" w:type="dxa"/>
            <w:vAlign w:val="center"/>
          </w:tcPr>
          <w:p w14:paraId="427A743F">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248A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618" w:type="dxa"/>
            <w:vAlign w:val="center"/>
          </w:tcPr>
          <w:p w14:paraId="06176D34">
            <w:pPr>
              <w:bidi w:val="0"/>
              <w:jc w:val="center"/>
              <w:rPr>
                <w:rFonts w:hint="eastAsia" w:ascii="宋体" w:hAnsi="宋体" w:eastAsia="宋体" w:cs="宋体"/>
                <w:sz w:val="21"/>
                <w:szCs w:val="21"/>
              </w:rPr>
            </w:pPr>
            <w:r>
              <w:rPr>
                <w:rFonts w:hint="eastAsia" w:ascii="宋体" w:hAnsi="宋体" w:eastAsia="宋体" w:cs="宋体"/>
                <w:sz w:val="21"/>
                <w:szCs w:val="21"/>
              </w:rPr>
              <w:t>3</w:t>
            </w:r>
          </w:p>
        </w:tc>
        <w:tc>
          <w:tcPr>
            <w:tcW w:w="3433" w:type="dxa"/>
            <w:vAlign w:val="center"/>
          </w:tcPr>
          <w:p w14:paraId="5F41A2A6">
            <w:pPr>
              <w:bidi w:val="0"/>
              <w:jc w:val="center"/>
              <w:rPr>
                <w:rFonts w:hint="eastAsia" w:ascii="宋体" w:hAnsi="宋体" w:eastAsia="宋体" w:cs="宋体"/>
                <w:sz w:val="21"/>
                <w:szCs w:val="21"/>
              </w:rPr>
            </w:pPr>
            <w:r>
              <w:rPr>
                <w:rFonts w:hint="eastAsia" w:ascii="宋体" w:hAnsi="宋体" w:eastAsia="宋体" w:cs="宋体"/>
                <w:sz w:val="21"/>
                <w:szCs w:val="21"/>
              </w:rPr>
              <w:t>城市建成区内的汽车加油加气加氢站宜靠近城市道路，但不宜选在城市干道的交叉</w:t>
            </w:r>
            <w:r>
              <w:rPr>
                <w:rFonts w:hint="eastAsia" w:ascii="宋体" w:hAnsi="宋体" w:eastAsia="宋体" w:cs="宋体"/>
                <w:sz w:val="21"/>
                <w:szCs w:val="21"/>
                <w:lang w:eastAsia="zh-CN"/>
              </w:rPr>
              <w:t>路</w:t>
            </w:r>
            <w:r>
              <w:rPr>
                <w:rFonts w:hint="eastAsia" w:ascii="宋体" w:hAnsi="宋体" w:eastAsia="宋体" w:cs="宋体"/>
                <w:sz w:val="21"/>
                <w:szCs w:val="21"/>
              </w:rPr>
              <w:t>口附近。</w:t>
            </w:r>
          </w:p>
        </w:tc>
        <w:tc>
          <w:tcPr>
            <w:tcW w:w="2463" w:type="dxa"/>
            <w:vAlign w:val="center"/>
          </w:tcPr>
          <w:p w14:paraId="7207BD1F">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4BC6CCD2">
            <w:pPr>
              <w:bidi w:val="0"/>
              <w:jc w:val="center"/>
              <w:rPr>
                <w:rFonts w:hint="eastAsia" w:ascii="宋体" w:hAnsi="宋体" w:eastAsia="宋体" w:cs="宋体"/>
                <w:sz w:val="21"/>
                <w:szCs w:val="21"/>
              </w:rPr>
            </w:pPr>
            <w:r>
              <w:rPr>
                <w:rFonts w:hint="eastAsia" w:ascii="宋体" w:hAnsi="宋体" w:eastAsia="宋体" w:cs="宋体"/>
                <w:sz w:val="21"/>
                <w:szCs w:val="21"/>
              </w:rPr>
              <w:t>（GB50156-2021）第4.0.3条</w:t>
            </w:r>
          </w:p>
        </w:tc>
        <w:tc>
          <w:tcPr>
            <w:tcW w:w="2075" w:type="dxa"/>
            <w:vAlign w:val="center"/>
          </w:tcPr>
          <w:p w14:paraId="46761AC8">
            <w:pPr>
              <w:bidi w:val="0"/>
              <w:jc w:val="center"/>
              <w:rPr>
                <w:rFonts w:hint="eastAsia" w:ascii="宋体" w:hAnsi="宋体" w:eastAsia="宋体" w:cs="宋体"/>
                <w:sz w:val="21"/>
                <w:szCs w:val="21"/>
              </w:rPr>
            </w:pPr>
            <w:r>
              <w:rPr>
                <w:rFonts w:hint="eastAsia" w:ascii="宋体" w:hAnsi="宋体" w:eastAsia="宋体" w:cs="宋体"/>
                <w:sz w:val="21"/>
                <w:szCs w:val="21"/>
              </w:rPr>
              <w:t>该加油站不在城市干道的交叉路口附近。</w:t>
            </w:r>
          </w:p>
        </w:tc>
        <w:tc>
          <w:tcPr>
            <w:tcW w:w="815" w:type="dxa"/>
            <w:vAlign w:val="center"/>
          </w:tcPr>
          <w:p w14:paraId="02C0747E">
            <w:pPr>
              <w:bidi w:val="0"/>
              <w:jc w:val="center"/>
              <w:rPr>
                <w:rFonts w:hint="eastAsia" w:ascii="宋体" w:hAnsi="宋体" w:eastAsia="宋体" w:cs="宋体"/>
                <w:sz w:val="21"/>
                <w:szCs w:val="21"/>
              </w:rPr>
            </w:pPr>
          </w:p>
          <w:p w14:paraId="24763631">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37A5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jc w:val="center"/>
        </w:trPr>
        <w:tc>
          <w:tcPr>
            <w:tcW w:w="618" w:type="dxa"/>
            <w:vAlign w:val="center"/>
          </w:tcPr>
          <w:p w14:paraId="06891D80">
            <w:pPr>
              <w:bidi w:val="0"/>
              <w:jc w:val="center"/>
              <w:rPr>
                <w:rFonts w:hint="eastAsia" w:ascii="宋体" w:hAnsi="宋体" w:eastAsia="宋体" w:cs="宋体"/>
                <w:sz w:val="21"/>
                <w:szCs w:val="21"/>
              </w:rPr>
            </w:pPr>
            <w:r>
              <w:rPr>
                <w:rFonts w:hint="eastAsia" w:ascii="宋体" w:hAnsi="宋体" w:eastAsia="宋体" w:cs="宋体"/>
                <w:sz w:val="21"/>
                <w:szCs w:val="21"/>
              </w:rPr>
              <w:t>4</w:t>
            </w:r>
          </w:p>
        </w:tc>
        <w:tc>
          <w:tcPr>
            <w:tcW w:w="3433" w:type="dxa"/>
            <w:vAlign w:val="center"/>
          </w:tcPr>
          <w:p w14:paraId="169E56FF">
            <w:pPr>
              <w:bidi w:val="0"/>
              <w:jc w:val="center"/>
              <w:rPr>
                <w:rFonts w:hint="eastAsia" w:ascii="宋体" w:hAnsi="宋体" w:eastAsia="宋体" w:cs="宋体"/>
                <w:sz w:val="21"/>
                <w:szCs w:val="21"/>
              </w:rPr>
            </w:pPr>
            <w:r>
              <w:rPr>
                <w:rFonts w:hint="eastAsia" w:ascii="宋体" w:hAnsi="宋体" w:eastAsia="宋体" w:cs="宋体"/>
                <w:sz w:val="21"/>
                <w:szCs w:val="21"/>
              </w:rPr>
              <w:t>加油站的汽油设备与站外建、构筑物的安全间距，不应小于本标准中的表4.0.4的规定。</w:t>
            </w:r>
          </w:p>
        </w:tc>
        <w:tc>
          <w:tcPr>
            <w:tcW w:w="2463" w:type="dxa"/>
            <w:vAlign w:val="center"/>
          </w:tcPr>
          <w:p w14:paraId="5C56B8ED">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07BFAD26">
            <w:pPr>
              <w:bidi w:val="0"/>
              <w:jc w:val="center"/>
              <w:rPr>
                <w:rFonts w:hint="eastAsia" w:ascii="宋体" w:hAnsi="宋体" w:eastAsia="宋体" w:cs="宋体"/>
                <w:sz w:val="21"/>
                <w:szCs w:val="21"/>
              </w:rPr>
            </w:pPr>
            <w:r>
              <w:rPr>
                <w:rFonts w:hint="eastAsia" w:ascii="宋体" w:hAnsi="宋体" w:eastAsia="宋体" w:cs="宋体"/>
                <w:sz w:val="21"/>
                <w:szCs w:val="21"/>
              </w:rPr>
              <w:t>（GB50156-2021）第4.0.4条</w:t>
            </w:r>
          </w:p>
        </w:tc>
        <w:tc>
          <w:tcPr>
            <w:tcW w:w="2075" w:type="dxa"/>
            <w:vAlign w:val="center"/>
          </w:tcPr>
          <w:p w14:paraId="6BC6F435">
            <w:pPr>
              <w:bidi w:val="0"/>
              <w:jc w:val="center"/>
              <w:rPr>
                <w:rFonts w:hint="eastAsia" w:ascii="宋体" w:hAnsi="宋体" w:eastAsia="宋体" w:cs="宋体"/>
                <w:sz w:val="21"/>
                <w:szCs w:val="21"/>
              </w:rPr>
            </w:pPr>
            <w:r>
              <w:rPr>
                <w:rFonts w:hint="eastAsia" w:ascii="宋体" w:hAnsi="宋体" w:eastAsia="宋体" w:cs="宋体"/>
                <w:sz w:val="21"/>
                <w:szCs w:val="21"/>
              </w:rPr>
              <w:t>经实测，符合要求。</w:t>
            </w:r>
          </w:p>
        </w:tc>
        <w:tc>
          <w:tcPr>
            <w:tcW w:w="815" w:type="dxa"/>
            <w:vAlign w:val="center"/>
          </w:tcPr>
          <w:p w14:paraId="4BC21AB3">
            <w:pPr>
              <w:bidi w:val="0"/>
              <w:jc w:val="center"/>
              <w:rPr>
                <w:rFonts w:hint="eastAsia" w:ascii="宋体" w:hAnsi="宋体" w:eastAsia="宋体" w:cs="宋体"/>
                <w:sz w:val="21"/>
                <w:szCs w:val="21"/>
              </w:rPr>
            </w:pPr>
          </w:p>
          <w:p w14:paraId="238A95E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B67D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618" w:type="dxa"/>
            <w:vAlign w:val="center"/>
          </w:tcPr>
          <w:p w14:paraId="70071618">
            <w:pPr>
              <w:bidi w:val="0"/>
              <w:jc w:val="center"/>
              <w:rPr>
                <w:rFonts w:hint="eastAsia" w:ascii="宋体" w:hAnsi="宋体" w:eastAsia="宋体" w:cs="宋体"/>
                <w:sz w:val="21"/>
                <w:szCs w:val="21"/>
              </w:rPr>
            </w:pPr>
            <w:r>
              <w:rPr>
                <w:rFonts w:hint="eastAsia" w:ascii="宋体" w:hAnsi="宋体" w:eastAsia="宋体" w:cs="宋体"/>
                <w:sz w:val="21"/>
                <w:szCs w:val="21"/>
              </w:rPr>
              <w:t>5</w:t>
            </w:r>
          </w:p>
        </w:tc>
        <w:tc>
          <w:tcPr>
            <w:tcW w:w="3433" w:type="dxa"/>
            <w:vAlign w:val="center"/>
          </w:tcPr>
          <w:p w14:paraId="3A1C9CB0">
            <w:pPr>
              <w:bidi w:val="0"/>
              <w:jc w:val="center"/>
              <w:rPr>
                <w:rFonts w:hint="eastAsia" w:ascii="宋体" w:hAnsi="宋体" w:eastAsia="宋体" w:cs="宋体"/>
                <w:sz w:val="21"/>
                <w:szCs w:val="21"/>
              </w:rPr>
            </w:pPr>
            <w:r>
              <w:rPr>
                <w:rFonts w:hint="eastAsia" w:ascii="宋体" w:hAnsi="宋体" w:eastAsia="宋体" w:cs="宋体"/>
                <w:sz w:val="21"/>
                <w:szCs w:val="21"/>
              </w:rPr>
              <w:t>加油站的柴油设备与站外建、构筑物的安全间距，不应小于本标准中的表4.0.5的规定。</w:t>
            </w:r>
          </w:p>
        </w:tc>
        <w:tc>
          <w:tcPr>
            <w:tcW w:w="2463" w:type="dxa"/>
            <w:vAlign w:val="center"/>
          </w:tcPr>
          <w:p w14:paraId="2D2858FD">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12EF2AB0">
            <w:pPr>
              <w:bidi w:val="0"/>
              <w:jc w:val="center"/>
              <w:rPr>
                <w:rFonts w:hint="eastAsia" w:ascii="宋体" w:hAnsi="宋体" w:eastAsia="宋体" w:cs="宋体"/>
                <w:sz w:val="21"/>
                <w:szCs w:val="21"/>
              </w:rPr>
            </w:pPr>
            <w:r>
              <w:rPr>
                <w:rFonts w:hint="eastAsia" w:ascii="宋体" w:hAnsi="宋体" w:eastAsia="宋体" w:cs="宋体"/>
                <w:sz w:val="21"/>
                <w:szCs w:val="21"/>
              </w:rPr>
              <w:t>（GB50156-2021）第4.0.5条</w:t>
            </w:r>
          </w:p>
        </w:tc>
        <w:tc>
          <w:tcPr>
            <w:tcW w:w="2075" w:type="dxa"/>
            <w:vAlign w:val="center"/>
          </w:tcPr>
          <w:p w14:paraId="28013A2A">
            <w:pPr>
              <w:bidi w:val="0"/>
              <w:jc w:val="center"/>
              <w:rPr>
                <w:rFonts w:hint="eastAsia" w:ascii="宋体" w:hAnsi="宋体" w:eastAsia="宋体" w:cs="宋体"/>
                <w:sz w:val="21"/>
                <w:szCs w:val="21"/>
              </w:rPr>
            </w:pPr>
            <w:r>
              <w:rPr>
                <w:rFonts w:hint="eastAsia" w:ascii="宋体" w:hAnsi="宋体" w:eastAsia="宋体" w:cs="宋体"/>
                <w:sz w:val="21"/>
                <w:szCs w:val="21"/>
              </w:rPr>
              <w:t>经实测，符合要求。</w:t>
            </w:r>
          </w:p>
        </w:tc>
        <w:tc>
          <w:tcPr>
            <w:tcW w:w="815" w:type="dxa"/>
            <w:vAlign w:val="center"/>
          </w:tcPr>
          <w:p w14:paraId="79E5867D">
            <w:pPr>
              <w:bidi w:val="0"/>
              <w:jc w:val="center"/>
              <w:rPr>
                <w:rFonts w:hint="eastAsia" w:ascii="宋体" w:hAnsi="宋体" w:eastAsia="宋体" w:cs="宋体"/>
                <w:sz w:val="21"/>
                <w:szCs w:val="21"/>
              </w:rPr>
            </w:pPr>
          </w:p>
          <w:p w14:paraId="38A7188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4EFF8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618" w:type="dxa"/>
            <w:vAlign w:val="center"/>
          </w:tcPr>
          <w:p w14:paraId="55BC841B">
            <w:pPr>
              <w:bidi w:val="0"/>
              <w:jc w:val="center"/>
              <w:rPr>
                <w:rFonts w:hint="eastAsia" w:ascii="宋体" w:hAnsi="宋体" w:eastAsia="宋体" w:cs="宋体"/>
                <w:sz w:val="21"/>
                <w:szCs w:val="21"/>
              </w:rPr>
            </w:pPr>
            <w:r>
              <w:rPr>
                <w:rFonts w:hint="eastAsia" w:ascii="宋体" w:hAnsi="宋体" w:eastAsia="宋体" w:cs="宋体"/>
                <w:sz w:val="21"/>
                <w:szCs w:val="21"/>
              </w:rPr>
              <w:t>6</w:t>
            </w:r>
          </w:p>
        </w:tc>
        <w:tc>
          <w:tcPr>
            <w:tcW w:w="3433" w:type="dxa"/>
            <w:vAlign w:val="center"/>
          </w:tcPr>
          <w:p w14:paraId="7D964795">
            <w:pPr>
              <w:bidi w:val="0"/>
              <w:jc w:val="center"/>
              <w:rPr>
                <w:rFonts w:hint="eastAsia" w:ascii="宋体" w:hAnsi="宋体" w:eastAsia="宋体" w:cs="宋体"/>
                <w:sz w:val="21"/>
                <w:szCs w:val="21"/>
              </w:rPr>
            </w:pPr>
            <w:r>
              <w:rPr>
                <w:rFonts w:hint="eastAsia" w:ascii="宋体" w:hAnsi="宋体" w:eastAsia="宋体" w:cs="宋体"/>
                <w:sz w:val="21"/>
                <w:szCs w:val="21"/>
              </w:rPr>
              <w:t>架空电力线路不应跨越汽车加油加气加氢站的作业区。架空通信线路不应跨越加气站、加氢合建站中加氢设施的作业区。</w:t>
            </w:r>
          </w:p>
        </w:tc>
        <w:tc>
          <w:tcPr>
            <w:tcW w:w="2463" w:type="dxa"/>
            <w:vAlign w:val="center"/>
          </w:tcPr>
          <w:p w14:paraId="287FB313">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2F865AE5">
            <w:pPr>
              <w:bidi w:val="0"/>
              <w:jc w:val="center"/>
              <w:rPr>
                <w:rFonts w:hint="eastAsia" w:ascii="宋体" w:hAnsi="宋体" w:eastAsia="宋体" w:cs="宋体"/>
                <w:sz w:val="21"/>
                <w:szCs w:val="21"/>
              </w:rPr>
            </w:pPr>
            <w:r>
              <w:rPr>
                <w:rFonts w:hint="eastAsia" w:ascii="宋体" w:hAnsi="宋体" w:eastAsia="宋体" w:cs="宋体"/>
                <w:sz w:val="21"/>
                <w:szCs w:val="21"/>
              </w:rPr>
              <w:t>（GB50156-2021）第4.0.12条</w:t>
            </w:r>
          </w:p>
        </w:tc>
        <w:tc>
          <w:tcPr>
            <w:tcW w:w="2075" w:type="dxa"/>
            <w:vAlign w:val="center"/>
          </w:tcPr>
          <w:p w14:paraId="5816BFBE">
            <w:pPr>
              <w:bidi w:val="0"/>
              <w:jc w:val="center"/>
              <w:rPr>
                <w:rFonts w:hint="eastAsia" w:ascii="宋体" w:hAnsi="宋体" w:eastAsia="宋体" w:cs="宋体"/>
                <w:sz w:val="21"/>
                <w:szCs w:val="21"/>
              </w:rPr>
            </w:pPr>
            <w:r>
              <w:rPr>
                <w:rFonts w:hint="eastAsia" w:ascii="宋体" w:hAnsi="宋体" w:eastAsia="宋体" w:cs="宋体"/>
                <w:sz w:val="21"/>
                <w:szCs w:val="21"/>
              </w:rPr>
              <w:t>架空通信线未跨越加油作业区。</w:t>
            </w:r>
          </w:p>
        </w:tc>
        <w:tc>
          <w:tcPr>
            <w:tcW w:w="815" w:type="dxa"/>
            <w:vAlign w:val="center"/>
          </w:tcPr>
          <w:p w14:paraId="1D71B5AB">
            <w:pPr>
              <w:bidi w:val="0"/>
              <w:jc w:val="center"/>
              <w:rPr>
                <w:rFonts w:hint="eastAsia" w:ascii="宋体" w:hAnsi="宋体" w:eastAsia="宋体" w:cs="宋体"/>
                <w:sz w:val="21"/>
                <w:szCs w:val="21"/>
              </w:rPr>
            </w:pPr>
          </w:p>
          <w:p w14:paraId="3F3F4F5C">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24DDA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jc w:val="center"/>
        </w:trPr>
        <w:tc>
          <w:tcPr>
            <w:tcW w:w="618" w:type="dxa"/>
            <w:vAlign w:val="center"/>
          </w:tcPr>
          <w:p w14:paraId="7E986AE0">
            <w:pPr>
              <w:bidi w:val="0"/>
              <w:jc w:val="center"/>
              <w:rPr>
                <w:rFonts w:hint="eastAsia" w:ascii="宋体" w:hAnsi="宋体" w:eastAsia="宋体" w:cs="宋体"/>
                <w:sz w:val="21"/>
                <w:szCs w:val="21"/>
              </w:rPr>
            </w:pPr>
            <w:r>
              <w:rPr>
                <w:rFonts w:hint="eastAsia" w:ascii="宋体" w:hAnsi="宋体" w:eastAsia="宋体" w:cs="宋体"/>
                <w:sz w:val="21"/>
                <w:szCs w:val="21"/>
              </w:rPr>
              <w:t>7</w:t>
            </w:r>
          </w:p>
        </w:tc>
        <w:tc>
          <w:tcPr>
            <w:tcW w:w="3433" w:type="dxa"/>
            <w:vAlign w:val="center"/>
          </w:tcPr>
          <w:p w14:paraId="4BFC8A01">
            <w:pPr>
              <w:bidi w:val="0"/>
              <w:jc w:val="center"/>
              <w:rPr>
                <w:rFonts w:hint="eastAsia" w:ascii="宋体" w:hAnsi="宋体" w:eastAsia="宋体" w:cs="宋体"/>
                <w:sz w:val="21"/>
                <w:szCs w:val="21"/>
              </w:rPr>
            </w:pPr>
            <w:r>
              <w:rPr>
                <w:rFonts w:hint="eastAsia" w:ascii="宋体" w:hAnsi="宋体" w:eastAsia="宋体" w:cs="宋体"/>
                <w:sz w:val="21"/>
                <w:szCs w:val="21"/>
              </w:rPr>
              <w:t>与汽车加油加气加氢站无关的可燃介质管道不应穿越汽车加油加气加氢站用地范围。</w:t>
            </w:r>
          </w:p>
        </w:tc>
        <w:tc>
          <w:tcPr>
            <w:tcW w:w="2463" w:type="dxa"/>
            <w:vAlign w:val="center"/>
          </w:tcPr>
          <w:p w14:paraId="09AAC635">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《汽车加油加气加氢站技术标准》（GB50156-2021）第4.0.13条</w:t>
            </w:r>
          </w:p>
        </w:tc>
        <w:tc>
          <w:tcPr>
            <w:tcW w:w="2075" w:type="dxa"/>
            <w:vAlign w:val="center"/>
          </w:tcPr>
          <w:p w14:paraId="03881EA7">
            <w:pPr>
              <w:bidi w:val="0"/>
              <w:jc w:val="center"/>
              <w:rPr>
                <w:rFonts w:hint="eastAsia" w:ascii="宋体" w:hAnsi="宋体" w:eastAsia="宋体" w:cs="宋体"/>
                <w:sz w:val="21"/>
                <w:szCs w:val="21"/>
              </w:rPr>
            </w:pPr>
            <w:r>
              <w:rPr>
                <w:rFonts w:hint="eastAsia" w:ascii="宋体" w:hAnsi="宋体" w:eastAsia="宋体" w:cs="宋体"/>
                <w:sz w:val="21"/>
                <w:szCs w:val="21"/>
              </w:rPr>
              <w:t>加油站内无可燃介质管道穿越。</w:t>
            </w:r>
          </w:p>
        </w:tc>
        <w:tc>
          <w:tcPr>
            <w:tcW w:w="815" w:type="dxa"/>
            <w:vAlign w:val="center"/>
          </w:tcPr>
          <w:p w14:paraId="528ED045">
            <w:pPr>
              <w:bidi w:val="0"/>
              <w:jc w:val="center"/>
              <w:rPr>
                <w:rFonts w:hint="eastAsia" w:ascii="宋体" w:hAnsi="宋体" w:eastAsia="宋体" w:cs="宋体"/>
                <w:sz w:val="21"/>
                <w:szCs w:val="21"/>
              </w:rPr>
            </w:pPr>
          </w:p>
          <w:p w14:paraId="364D04BB">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bl>
    <w:p w14:paraId="143E5E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通过以上分析评价：该加油站周边附近区域无甲、乙类生产、储存设施，</w:t>
      </w:r>
    </w:p>
    <w:p w14:paraId="34A00CCD">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无矿山等生产设施，无重要、一类、二类保护建筑物。站内汽油、柴油设备</w:t>
      </w:r>
    </w:p>
    <w:p w14:paraId="04798040">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与站外建（构）筑物之间的防火距离符合《汽车加油加气加氢站技术标准》</w:t>
      </w:r>
    </w:p>
    <w:p w14:paraId="72D5D6A1">
      <w:pPr>
        <w:pageBreakBefore w:val="0"/>
        <w:widowControl w:val="0"/>
        <w:tabs>
          <w:tab w:val="left" w:pos="1006"/>
        </w:tabs>
        <w:kinsoku/>
        <w:wordWrap/>
        <w:overflowPunct/>
        <w:topLinePunct w:val="0"/>
        <w:autoSpaceDE/>
        <w:autoSpaceDN/>
        <w:bidi w:val="0"/>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（GB50156-2021）的相关要求。</w:t>
      </w:r>
    </w:p>
    <w:p w14:paraId="30EA6B4D">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jc w:val="both"/>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31" w:name="_Toc32384"/>
      <w:bookmarkStart w:id="432" w:name="_Toc948"/>
      <w:bookmarkStart w:id="433" w:name="_Toc30404"/>
      <w:bookmarkStart w:id="434" w:name="_Toc19370"/>
      <w:r>
        <w:rPr>
          <w:rFonts w:hint="eastAsia" w:ascii="宋体" w:hAnsi="宋体" w:eastAsia="宋体" w:cs="宋体"/>
          <w:b/>
          <w:color w:val="000000" w:themeColor="text1"/>
          <w:sz w:val="30"/>
          <w:szCs w:val="30"/>
          <w:lang w:val="en-US" w:eastAsia="zh-CN"/>
          <w14:textFill>
            <w14:solidFill>
              <w14:schemeClr w14:val="tx1"/>
            </w14:solidFill>
          </w14:textFill>
        </w:rPr>
        <w:t>7.1.2总平面布置评价子单元</w:t>
      </w:r>
      <w:bookmarkEnd w:id="431"/>
      <w:bookmarkEnd w:id="432"/>
      <w:bookmarkEnd w:id="433"/>
      <w:bookmarkEnd w:id="434"/>
    </w:p>
    <w:p w14:paraId="5206B04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汽车加油加气加氢站技术标准》（GB50156-2021）的相关规定，对该加油站总平面布置及加油站内部设施之间的防火距离进行安全分析评价，具体过程见表7-2总平面布置安全评价检查表及表站内设施的防火间距。</w:t>
      </w:r>
    </w:p>
    <w:p w14:paraId="77E214D9">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表7-2总平面布置安全评价检查表</w:t>
      </w:r>
    </w:p>
    <w:tbl>
      <w:tblPr>
        <w:tblStyle w:val="41"/>
        <w:tblW w:w="94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2886"/>
        <w:gridCol w:w="2636"/>
        <w:gridCol w:w="2417"/>
        <w:gridCol w:w="780"/>
      </w:tblGrid>
      <w:tr w14:paraId="1083D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685" w:type="dxa"/>
            <w:tcBorders>
              <w:top w:val="single" w:color="000000" w:sz="2" w:space="0"/>
              <w:right w:val="single" w:color="000000" w:sz="2" w:space="0"/>
            </w:tcBorders>
            <w:vAlign w:val="center"/>
          </w:tcPr>
          <w:p w14:paraId="75CF8BE5">
            <w:pPr>
              <w:bidi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886" w:type="dxa"/>
            <w:tcBorders>
              <w:left w:val="single" w:color="000000" w:sz="2" w:space="0"/>
            </w:tcBorders>
            <w:vAlign w:val="center"/>
          </w:tcPr>
          <w:p w14:paraId="56D7A8FB">
            <w:pPr>
              <w:bidi w:val="0"/>
              <w:jc w:val="center"/>
              <w:rPr>
                <w:rFonts w:hint="eastAsia" w:ascii="宋体" w:hAnsi="宋体" w:eastAsia="宋体" w:cs="宋体"/>
                <w:sz w:val="21"/>
                <w:szCs w:val="21"/>
              </w:rPr>
            </w:pPr>
            <w:r>
              <w:rPr>
                <w:rFonts w:hint="eastAsia" w:ascii="宋体" w:hAnsi="宋体" w:eastAsia="宋体" w:cs="宋体"/>
                <w:sz w:val="21"/>
                <w:szCs w:val="21"/>
              </w:rPr>
              <w:t>检查内容</w:t>
            </w:r>
          </w:p>
        </w:tc>
        <w:tc>
          <w:tcPr>
            <w:tcW w:w="2636" w:type="dxa"/>
            <w:vAlign w:val="center"/>
          </w:tcPr>
          <w:p w14:paraId="39199164">
            <w:pPr>
              <w:bidi w:val="0"/>
              <w:jc w:val="center"/>
              <w:rPr>
                <w:rFonts w:hint="eastAsia" w:ascii="宋体" w:hAnsi="宋体" w:eastAsia="宋体" w:cs="宋体"/>
                <w:sz w:val="21"/>
                <w:szCs w:val="21"/>
              </w:rPr>
            </w:pPr>
            <w:r>
              <w:rPr>
                <w:rFonts w:hint="eastAsia" w:ascii="宋体" w:hAnsi="宋体" w:eastAsia="宋体" w:cs="宋体"/>
                <w:sz w:val="21"/>
                <w:szCs w:val="21"/>
              </w:rPr>
              <w:t>检查依据</w:t>
            </w:r>
          </w:p>
        </w:tc>
        <w:tc>
          <w:tcPr>
            <w:tcW w:w="2417" w:type="dxa"/>
            <w:vAlign w:val="center"/>
          </w:tcPr>
          <w:p w14:paraId="5D1D4591">
            <w:pPr>
              <w:bidi w:val="0"/>
              <w:jc w:val="center"/>
              <w:rPr>
                <w:rFonts w:hint="eastAsia" w:ascii="宋体" w:hAnsi="宋体" w:eastAsia="宋体" w:cs="宋体"/>
                <w:sz w:val="21"/>
                <w:szCs w:val="21"/>
              </w:rPr>
            </w:pPr>
            <w:r>
              <w:rPr>
                <w:rFonts w:hint="eastAsia" w:ascii="宋体" w:hAnsi="宋体" w:eastAsia="宋体" w:cs="宋体"/>
                <w:sz w:val="21"/>
                <w:szCs w:val="21"/>
              </w:rPr>
              <w:t>检查记录</w:t>
            </w:r>
          </w:p>
        </w:tc>
        <w:tc>
          <w:tcPr>
            <w:tcW w:w="780" w:type="dxa"/>
            <w:vAlign w:val="center"/>
          </w:tcPr>
          <w:p w14:paraId="175E8C56">
            <w:pPr>
              <w:bidi w:val="0"/>
              <w:jc w:val="center"/>
              <w:rPr>
                <w:rFonts w:hint="eastAsia" w:ascii="宋体" w:hAnsi="宋体" w:eastAsia="宋体" w:cs="宋体"/>
                <w:sz w:val="21"/>
                <w:szCs w:val="21"/>
              </w:rPr>
            </w:pPr>
            <w:r>
              <w:rPr>
                <w:rFonts w:hint="eastAsia" w:ascii="宋体" w:hAnsi="宋体" w:eastAsia="宋体" w:cs="宋体"/>
                <w:sz w:val="21"/>
                <w:szCs w:val="21"/>
              </w:rPr>
              <w:t>检查</w:t>
            </w:r>
          </w:p>
          <w:p w14:paraId="59E61F27">
            <w:pPr>
              <w:bidi w:val="0"/>
              <w:jc w:val="center"/>
              <w:rPr>
                <w:rFonts w:hint="eastAsia" w:ascii="宋体" w:hAnsi="宋体" w:eastAsia="宋体" w:cs="宋体"/>
                <w:sz w:val="21"/>
                <w:szCs w:val="21"/>
              </w:rPr>
            </w:pPr>
            <w:r>
              <w:rPr>
                <w:rFonts w:hint="eastAsia" w:ascii="宋体" w:hAnsi="宋体" w:eastAsia="宋体" w:cs="宋体"/>
                <w:sz w:val="21"/>
                <w:szCs w:val="21"/>
              </w:rPr>
              <w:t>结果</w:t>
            </w:r>
          </w:p>
        </w:tc>
      </w:tr>
      <w:tr w14:paraId="7130D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685" w:type="dxa"/>
            <w:tcBorders>
              <w:right w:val="single" w:color="000000" w:sz="2" w:space="0"/>
            </w:tcBorders>
            <w:vAlign w:val="center"/>
          </w:tcPr>
          <w:p w14:paraId="0D29D1F8">
            <w:pPr>
              <w:bidi w:val="0"/>
              <w:jc w:val="center"/>
              <w:rPr>
                <w:rFonts w:hint="eastAsia" w:ascii="宋体" w:hAnsi="宋体" w:eastAsia="宋体" w:cs="宋体"/>
                <w:sz w:val="21"/>
                <w:szCs w:val="21"/>
              </w:rPr>
            </w:pPr>
            <w:r>
              <w:rPr>
                <w:rFonts w:hint="eastAsia" w:ascii="宋体" w:hAnsi="宋体" w:eastAsia="宋体" w:cs="宋体"/>
                <w:sz w:val="21"/>
                <w:szCs w:val="21"/>
              </w:rPr>
              <w:t>1</w:t>
            </w:r>
          </w:p>
        </w:tc>
        <w:tc>
          <w:tcPr>
            <w:tcW w:w="2886" w:type="dxa"/>
            <w:tcBorders>
              <w:left w:val="single" w:color="000000" w:sz="2" w:space="0"/>
            </w:tcBorders>
            <w:vAlign w:val="center"/>
          </w:tcPr>
          <w:p w14:paraId="6F215ADE">
            <w:pPr>
              <w:bidi w:val="0"/>
              <w:jc w:val="center"/>
              <w:rPr>
                <w:rFonts w:hint="eastAsia" w:ascii="宋体" w:hAnsi="宋体" w:eastAsia="宋体" w:cs="宋体"/>
                <w:sz w:val="21"/>
                <w:szCs w:val="21"/>
              </w:rPr>
            </w:pPr>
            <w:r>
              <w:rPr>
                <w:rFonts w:hint="eastAsia" w:ascii="宋体" w:hAnsi="宋体" w:eastAsia="宋体" w:cs="宋体"/>
                <w:sz w:val="21"/>
                <w:szCs w:val="21"/>
              </w:rPr>
              <w:t>车辆入口与出口应分开设置。</w:t>
            </w:r>
          </w:p>
        </w:tc>
        <w:tc>
          <w:tcPr>
            <w:tcW w:w="2636" w:type="dxa"/>
            <w:vAlign w:val="center"/>
          </w:tcPr>
          <w:p w14:paraId="3719757D">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2C0CF6F5">
            <w:pPr>
              <w:bidi w:val="0"/>
              <w:jc w:val="center"/>
              <w:rPr>
                <w:rFonts w:hint="eastAsia" w:ascii="宋体" w:hAnsi="宋体" w:eastAsia="宋体" w:cs="宋体"/>
                <w:sz w:val="21"/>
                <w:szCs w:val="21"/>
              </w:rPr>
            </w:pPr>
            <w:r>
              <w:rPr>
                <w:rFonts w:hint="eastAsia" w:ascii="宋体" w:hAnsi="宋体" w:eastAsia="宋体" w:cs="宋体"/>
                <w:sz w:val="21"/>
                <w:szCs w:val="21"/>
              </w:rPr>
              <w:t>（GB50156-2021）第5.0.1条</w:t>
            </w:r>
          </w:p>
        </w:tc>
        <w:tc>
          <w:tcPr>
            <w:tcW w:w="2417" w:type="dxa"/>
            <w:vAlign w:val="center"/>
          </w:tcPr>
          <w:p w14:paraId="5120ED36">
            <w:pPr>
              <w:bidi w:val="0"/>
              <w:jc w:val="center"/>
              <w:rPr>
                <w:rFonts w:hint="eastAsia" w:ascii="宋体" w:hAnsi="宋体" w:eastAsia="宋体" w:cs="宋体"/>
                <w:sz w:val="21"/>
                <w:szCs w:val="21"/>
              </w:rPr>
            </w:pPr>
            <w:r>
              <w:rPr>
                <w:rFonts w:hint="eastAsia" w:ascii="宋体" w:hAnsi="宋体" w:eastAsia="宋体" w:cs="宋体"/>
                <w:sz w:val="21"/>
                <w:szCs w:val="21"/>
              </w:rPr>
              <w:t>出入口已分开设置。</w:t>
            </w:r>
          </w:p>
        </w:tc>
        <w:tc>
          <w:tcPr>
            <w:tcW w:w="780" w:type="dxa"/>
            <w:vAlign w:val="center"/>
          </w:tcPr>
          <w:p w14:paraId="3DC8110F">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4394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685" w:type="dxa"/>
            <w:tcBorders>
              <w:right w:val="single" w:color="000000" w:sz="2" w:space="0"/>
            </w:tcBorders>
            <w:vAlign w:val="center"/>
          </w:tcPr>
          <w:p w14:paraId="463AF9F2">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W w:w="2886" w:type="dxa"/>
            <w:tcBorders>
              <w:left w:val="single" w:color="000000" w:sz="2" w:space="0"/>
            </w:tcBorders>
            <w:vAlign w:val="center"/>
          </w:tcPr>
          <w:p w14:paraId="27E27C8D">
            <w:pPr>
              <w:bidi w:val="0"/>
              <w:jc w:val="center"/>
              <w:rPr>
                <w:rFonts w:hint="eastAsia" w:ascii="宋体" w:hAnsi="宋体" w:eastAsia="宋体" w:cs="宋体"/>
                <w:sz w:val="21"/>
                <w:szCs w:val="21"/>
              </w:rPr>
            </w:pPr>
            <w:r>
              <w:rPr>
                <w:rFonts w:hint="eastAsia" w:ascii="宋体" w:hAnsi="宋体" w:eastAsia="宋体" w:cs="宋体"/>
                <w:sz w:val="21"/>
                <w:szCs w:val="21"/>
              </w:rPr>
              <w:t>站内车道宽度应按车辆类型确定。站内单车道宽度不应小</w:t>
            </w:r>
          </w:p>
          <w:p w14:paraId="4D1E58FF">
            <w:pPr>
              <w:bidi w:val="0"/>
              <w:jc w:val="center"/>
              <w:rPr>
                <w:rFonts w:hint="eastAsia" w:ascii="宋体" w:hAnsi="宋体" w:eastAsia="宋体" w:cs="宋体"/>
                <w:sz w:val="21"/>
                <w:szCs w:val="21"/>
              </w:rPr>
            </w:pPr>
            <w:r>
              <w:rPr>
                <w:rFonts w:hint="eastAsia" w:ascii="宋体" w:hAnsi="宋体" w:eastAsia="宋体" w:cs="宋体"/>
                <w:sz w:val="21"/>
                <w:szCs w:val="21"/>
              </w:rPr>
              <w:t>于4m，双车道宽度不应小于</w:t>
            </w:r>
          </w:p>
          <w:p w14:paraId="5E43A730">
            <w:pPr>
              <w:bidi w:val="0"/>
              <w:jc w:val="center"/>
              <w:rPr>
                <w:rFonts w:hint="eastAsia" w:ascii="宋体" w:hAnsi="宋体" w:eastAsia="宋体" w:cs="宋体"/>
                <w:sz w:val="21"/>
                <w:szCs w:val="21"/>
              </w:rPr>
            </w:pPr>
            <w:r>
              <w:rPr>
                <w:rFonts w:hint="eastAsia" w:ascii="宋体" w:hAnsi="宋体" w:eastAsia="宋体" w:cs="宋体"/>
                <w:sz w:val="21"/>
                <w:szCs w:val="21"/>
              </w:rPr>
              <w:t>6m，站内道路转弯半径不宜</w:t>
            </w:r>
          </w:p>
          <w:p w14:paraId="0858B21A">
            <w:pPr>
              <w:bidi w:val="0"/>
              <w:jc w:val="center"/>
              <w:rPr>
                <w:rFonts w:hint="eastAsia" w:ascii="宋体" w:hAnsi="宋体" w:eastAsia="宋体" w:cs="宋体"/>
                <w:sz w:val="21"/>
                <w:szCs w:val="21"/>
              </w:rPr>
            </w:pPr>
            <w:r>
              <w:rPr>
                <w:rFonts w:hint="eastAsia" w:ascii="宋体" w:hAnsi="宋体" w:eastAsia="宋体" w:cs="宋体"/>
                <w:sz w:val="21"/>
                <w:szCs w:val="21"/>
              </w:rPr>
              <w:t>小于9m。</w:t>
            </w:r>
          </w:p>
        </w:tc>
        <w:tc>
          <w:tcPr>
            <w:tcW w:w="2636" w:type="dxa"/>
            <w:vAlign w:val="center"/>
          </w:tcPr>
          <w:p w14:paraId="086D81A8">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2B7F045F">
            <w:pPr>
              <w:bidi w:val="0"/>
              <w:jc w:val="center"/>
              <w:rPr>
                <w:rFonts w:hint="eastAsia" w:ascii="宋体" w:hAnsi="宋体" w:eastAsia="宋体" w:cs="宋体"/>
                <w:sz w:val="21"/>
                <w:szCs w:val="21"/>
              </w:rPr>
            </w:pPr>
            <w:r>
              <w:rPr>
                <w:rFonts w:hint="eastAsia" w:ascii="宋体" w:hAnsi="宋体" w:eastAsia="宋体" w:cs="宋体"/>
                <w:sz w:val="21"/>
                <w:szCs w:val="21"/>
              </w:rPr>
              <w:t>（GB50156-2021）第5.0.2条</w:t>
            </w:r>
          </w:p>
        </w:tc>
        <w:tc>
          <w:tcPr>
            <w:tcW w:w="2417" w:type="dxa"/>
            <w:vAlign w:val="center"/>
          </w:tcPr>
          <w:p w14:paraId="63361DC2">
            <w:pPr>
              <w:bidi w:val="0"/>
              <w:jc w:val="center"/>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shd w:val="clear" w:color="auto" w:fill="auto"/>
                <w14:textFill>
                  <w14:solidFill>
                    <w14:schemeClr w14:val="tx1"/>
                  </w14:solidFill>
                </w14:textFill>
              </w:rPr>
              <w:t>两条单车道宽度为4.5m，一条双车道为8.7m</w:t>
            </w:r>
            <w:r>
              <w:rPr>
                <w:rFonts w:hint="eastAsia" w:ascii="宋体" w:hAnsi="宋体" w:cs="宋体"/>
                <w:color w:val="000000" w:themeColor="text1"/>
                <w:sz w:val="21"/>
                <w:szCs w:val="21"/>
                <w:shd w:val="clear" w:color="auto" w:fill="auto"/>
                <w:lang w:eastAsia="zh-CN"/>
                <w14:textFill>
                  <w14:solidFill>
                    <w14:schemeClr w14:val="tx1"/>
                  </w14:solidFill>
                </w14:textFill>
              </w:rPr>
              <w:t>。</w:t>
            </w:r>
          </w:p>
        </w:tc>
        <w:tc>
          <w:tcPr>
            <w:tcW w:w="780" w:type="dxa"/>
            <w:vAlign w:val="center"/>
          </w:tcPr>
          <w:p w14:paraId="3B49B15C">
            <w:pPr>
              <w:bidi w:val="0"/>
              <w:jc w:val="center"/>
              <w:rPr>
                <w:rFonts w:hint="eastAsia" w:ascii="宋体" w:hAnsi="宋体" w:eastAsia="宋体" w:cs="宋体"/>
                <w:sz w:val="21"/>
                <w:szCs w:val="21"/>
              </w:rPr>
            </w:pPr>
          </w:p>
          <w:p w14:paraId="5C76500D">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4D7E2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685" w:type="dxa"/>
            <w:tcBorders>
              <w:right w:val="single" w:color="000000" w:sz="2" w:space="0"/>
            </w:tcBorders>
            <w:vAlign w:val="center"/>
          </w:tcPr>
          <w:p w14:paraId="71BE41D6">
            <w:pPr>
              <w:bidi w:val="0"/>
              <w:jc w:val="center"/>
              <w:rPr>
                <w:rFonts w:hint="eastAsia" w:ascii="宋体" w:hAnsi="宋体" w:eastAsia="宋体" w:cs="宋体"/>
                <w:sz w:val="21"/>
                <w:szCs w:val="21"/>
              </w:rPr>
            </w:pPr>
            <w:r>
              <w:rPr>
                <w:rFonts w:hint="eastAsia" w:ascii="宋体" w:hAnsi="宋体" w:eastAsia="宋体" w:cs="宋体"/>
                <w:sz w:val="21"/>
                <w:szCs w:val="21"/>
              </w:rPr>
              <w:t>3</w:t>
            </w:r>
          </w:p>
        </w:tc>
        <w:tc>
          <w:tcPr>
            <w:tcW w:w="2886" w:type="dxa"/>
            <w:tcBorders>
              <w:left w:val="single" w:color="000000" w:sz="2" w:space="0"/>
            </w:tcBorders>
            <w:vAlign w:val="center"/>
          </w:tcPr>
          <w:p w14:paraId="4A777CDB">
            <w:pPr>
              <w:bidi w:val="0"/>
              <w:jc w:val="center"/>
              <w:rPr>
                <w:rFonts w:hint="eastAsia" w:ascii="宋体" w:hAnsi="宋体" w:eastAsia="宋体" w:cs="宋体"/>
                <w:sz w:val="21"/>
                <w:szCs w:val="21"/>
              </w:rPr>
            </w:pPr>
            <w:r>
              <w:rPr>
                <w:rFonts w:hint="eastAsia" w:ascii="宋体" w:hAnsi="宋体" w:eastAsia="宋体" w:cs="宋体"/>
                <w:sz w:val="21"/>
                <w:szCs w:val="21"/>
              </w:rPr>
              <w:t>站内停车位应为平坡，道路坡</w:t>
            </w:r>
          </w:p>
          <w:p w14:paraId="236E002D">
            <w:pPr>
              <w:bidi w:val="0"/>
              <w:jc w:val="center"/>
              <w:rPr>
                <w:rFonts w:hint="eastAsia" w:ascii="宋体" w:hAnsi="宋体" w:eastAsia="宋体" w:cs="宋体"/>
                <w:sz w:val="21"/>
                <w:szCs w:val="21"/>
              </w:rPr>
            </w:pPr>
            <w:r>
              <w:rPr>
                <w:rFonts w:hint="eastAsia" w:ascii="宋体" w:hAnsi="宋体" w:eastAsia="宋体" w:cs="宋体"/>
                <w:sz w:val="21"/>
                <w:szCs w:val="21"/>
              </w:rPr>
              <w:t>度不应大于8%，且宜坡向站外。</w:t>
            </w:r>
          </w:p>
        </w:tc>
        <w:tc>
          <w:tcPr>
            <w:tcW w:w="2636" w:type="dxa"/>
            <w:vAlign w:val="center"/>
          </w:tcPr>
          <w:p w14:paraId="115F6FA9">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67E2183A">
            <w:pPr>
              <w:bidi w:val="0"/>
              <w:jc w:val="center"/>
              <w:rPr>
                <w:rFonts w:hint="eastAsia" w:ascii="宋体" w:hAnsi="宋体" w:eastAsia="宋体" w:cs="宋体"/>
                <w:sz w:val="21"/>
                <w:szCs w:val="21"/>
              </w:rPr>
            </w:pPr>
            <w:r>
              <w:rPr>
                <w:rFonts w:hint="eastAsia" w:ascii="宋体" w:hAnsi="宋体" w:eastAsia="宋体" w:cs="宋体"/>
                <w:sz w:val="21"/>
                <w:szCs w:val="21"/>
              </w:rPr>
              <w:t>（GB50156-2021）第5.0.2条</w:t>
            </w:r>
          </w:p>
        </w:tc>
        <w:tc>
          <w:tcPr>
            <w:tcW w:w="2417" w:type="dxa"/>
            <w:vAlign w:val="center"/>
          </w:tcPr>
          <w:p w14:paraId="57D3CA11">
            <w:pPr>
              <w:bidi w:val="0"/>
              <w:jc w:val="center"/>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站内卸油停车位为平坡，</w:t>
            </w:r>
          </w:p>
          <w:p w14:paraId="61810C7B">
            <w:pPr>
              <w:bidi w:val="0"/>
              <w:jc w:val="center"/>
              <w:rPr>
                <w:rFonts w:hint="eastAsia" w:ascii="宋体" w:hAnsi="宋体" w:eastAsia="宋体" w:cs="宋体"/>
                <w:sz w:val="21"/>
                <w:szCs w:val="21"/>
              </w:rPr>
            </w:pPr>
            <w:r>
              <w:rPr>
                <w:rFonts w:hint="eastAsia" w:ascii="宋体" w:hAnsi="宋体" w:eastAsia="宋体" w:cs="宋体"/>
                <w:color w:val="000000" w:themeColor="text1"/>
                <w:sz w:val="21"/>
                <w:szCs w:val="21"/>
                <w:shd w:val="clear" w:color="auto" w:fill="auto"/>
                <w14:textFill>
                  <w14:solidFill>
                    <w14:schemeClr w14:val="tx1"/>
                  </w14:solidFill>
                </w14:textFill>
              </w:rPr>
              <w:t>道路坡度</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不大于8</w:t>
            </w:r>
            <w:r>
              <w:rPr>
                <w:rFonts w:hint="eastAsia" w:ascii="宋体" w:hAnsi="宋体" w:eastAsia="宋体" w:cs="宋体"/>
                <w:color w:val="000000" w:themeColor="text1"/>
                <w:sz w:val="21"/>
                <w:szCs w:val="21"/>
                <w:shd w:val="clear" w:color="auto" w:fill="auto"/>
                <w14:textFill>
                  <w14:solidFill>
                    <w14:schemeClr w14:val="tx1"/>
                  </w14:solidFill>
                </w14:textFill>
              </w:rPr>
              <w:t>%，且坡向站外。</w:t>
            </w:r>
          </w:p>
        </w:tc>
        <w:tc>
          <w:tcPr>
            <w:tcW w:w="780" w:type="dxa"/>
            <w:vAlign w:val="center"/>
          </w:tcPr>
          <w:p w14:paraId="4596D90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86D4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685" w:type="dxa"/>
            <w:tcBorders>
              <w:right w:val="single" w:color="000000" w:sz="2" w:space="0"/>
            </w:tcBorders>
            <w:vAlign w:val="center"/>
          </w:tcPr>
          <w:p w14:paraId="09BAB85D">
            <w:pPr>
              <w:bidi w:val="0"/>
              <w:jc w:val="center"/>
              <w:rPr>
                <w:rFonts w:hint="eastAsia" w:ascii="宋体" w:hAnsi="宋体" w:eastAsia="宋体" w:cs="宋体"/>
                <w:sz w:val="21"/>
                <w:szCs w:val="21"/>
              </w:rPr>
            </w:pPr>
            <w:r>
              <w:rPr>
                <w:rFonts w:hint="eastAsia" w:ascii="宋体" w:hAnsi="宋体" w:eastAsia="宋体" w:cs="宋体"/>
                <w:sz w:val="21"/>
                <w:szCs w:val="21"/>
              </w:rPr>
              <w:t>4</w:t>
            </w:r>
          </w:p>
        </w:tc>
        <w:tc>
          <w:tcPr>
            <w:tcW w:w="2886" w:type="dxa"/>
            <w:tcBorders>
              <w:left w:val="single" w:color="000000" w:sz="2" w:space="0"/>
            </w:tcBorders>
            <w:vAlign w:val="center"/>
          </w:tcPr>
          <w:p w14:paraId="6C2D9C2E">
            <w:pPr>
              <w:bidi w:val="0"/>
              <w:jc w:val="center"/>
              <w:rPr>
                <w:rFonts w:hint="eastAsia" w:ascii="宋体" w:hAnsi="宋体" w:eastAsia="宋体" w:cs="宋体"/>
                <w:sz w:val="21"/>
                <w:szCs w:val="21"/>
              </w:rPr>
            </w:pPr>
            <w:r>
              <w:rPr>
                <w:rFonts w:hint="eastAsia" w:ascii="宋体" w:hAnsi="宋体" w:eastAsia="宋体" w:cs="宋体"/>
                <w:sz w:val="21"/>
                <w:szCs w:val="21"/>
              </w:rPr>
              <w:t>作业区内的停车场和道路路面不应采用沥青路面。</w:t>
            </w:r>
          </w:p>
        </w:tc>
        <w:tc>
          <w:tcPr>
            <w:tcW w:w="2636" w:type="dxa"/>
            <w:vAlign w:val="center"/>
          </w:tcPr>
          <w:p w14:paraId="4037CD7C">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2BD49C82">
            <w:pPr>
              <w:bidi w:val="0"/>
              <w:jc w:val="center"/>
              <w:rPr>
                <w:rFonts w:hint="eastAsia" w:ascii="宋体" w:hAnsi="宋体" w:eastAsia="宋体" w:cs="宋体"/>
                <w:sz w:val="21"/>
                <w:szCs w:val="21"/>
              </w:rPr>
            </w:pPr>
            <w:r>
              <w:rPr>
                <w:rFonts w:hint="eastAsia" w:ascii="宋体" w:hAnsi="宋体" w:eastAsia="宋体" w:cs="宋体"/>
                <w:sz w:val="21"/>
                <w:szCs w:val="21"/>
              </w:rPr>
              <w:t>（GB50156-2021）第5.0.2条</w:t>
            </w:r>
          </w:p>
        </w:tc>
        <w:tc>
          <w:tcPr>
            <w:tcW w:w="2417" w:type="dxa"/>
            <w:vAlign w:val="center"/>
          </w:tcPr>
          <w:p w14:paraId="28863E97">
            <w:pPr>
              <w:bidi w:val="0"/>
              <w:jc w:val="center"/>
              <w:rPr>
                <w:rFonts w:hint="eastAsia" w:ascii="宋体" w:hAnsi="宋体" w:eastAsia="宋体" w:cs="宋体"/>
                <w:sz w:val="21"/>
                <w:szCs w:val="21"/>
              </w:rPr>
            </w:pPr>
            <w:r>
              <w:rPr>
                <w:rFonts w:hint="eastAsia" w:ascii="宋体" w:hAnsi="宋体" w:eastAsia="宋体" w:cs="宋体"/>
                <w:sz w:val="21"/>
                <w:szCs w:val="21"/>
              </w:rPr>
              <w:t>站内为混凝土路面。</w:t>
            </w:r>
          </w:p>
        </w:tc>
        <w:tc>
          <w:tcPr>
            <w:tcW w:w="780" w:type="dxa"/>
            <w:vAlign w:val="center"/>
          </w:tcPr>
          <w:p w14:paraId="5E8BF8F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53150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685" w:type="dxa"/>
            <w:tcBorders>
              <w:right w:val="single" w:color="000000" w:sz="2" w:space="0"/>
            </w:tcBorders>
            <w:vAlign w:val="center"/>
          </w:tcPr>
          <w:p w14:paraId="426DDB9F">
            <w:pPr>
              <w:bidi w:val="0"/>
              <w:jc w:val="center"/>
              <w:rPr>
                <w:rFonts w:hint="eastAsia" w:ascii="宋体" w:hAnsi="宋体" w:eastAsia="宋体" w:cs="宋体"/>
                <w:sz w:val="21"/>
                <w:szCs w:val="21"/>
              </w:rPr>
            </w:pPr>
            <w:r>
              <w:rPr>
                <w:rFonts w:hint="eastAsia" w:ascii="宋体" w:hAnsi="宋体" w:eastAsia="宋体" w:cs="宋体"/>
                <w:sz w:val="21"/>
                <w:szCs w:val="21"/>
              </w:rPr>
              <w:t>5</w:t>
            </w:r>
          </w:p>
        </w:tc>
        <w:tc>
          <w:tcPr>
            <w:tcW w:w="2886" w:type="dxa"/>
            <w:tcBorders>
              <w:left w:val="single" w:color="000000" w:sz="2" w:space="0"/>
            </w:tcBorders>
            <w:vAlign w:val="center"/>
          </w:tcPr>
          <w:p w14:paraId="6FCCF6DD">
            <w:pPr>
              <w:bidi w:val="0"/>
              <w:jc w:val="center"/>
              <w:rPr>
                <w:rFonts w:hint="eastAsia" w:ascii="宋体" w:hAnsi="宋体" w:eastAsia="宋体" w:cs="宋体"/>
                <w:sz w:val="21"/>
                <w:szCs w:val="21"/>
              </w:rPr>
            </w:pPr>
            <w:r>
              <w:rPr>
                <w:rFonts w:hint="eastAsia" w:ascii="宋体" w:hAnsi="宋体" w:eastAsia="宋体" w:cs="宋体"/>
                <w:sz w:val="21"/>
                <w:szCs w:val="21"/>
              </w:rPr>
              <w:t>作业区与辅助服务区之间应有界线标识。</w:t>
            </w:r>
          </w:p>
        </w:tc>
        <w:tc>
          <w:tcPr>
            <w:tcW w:w="2636" w:type="dxa"/>
            <w:vAlign w:val="center"/>
          </w:tcPr>
          <w:p w14:paraId="64EBB13F">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02F43F90">
            <w:pPr>
              <w:bidi w:val="0"/>
              <w:jc w:val="center"/>
              <w:rPr>
                <w:rFonts w:hint="eastAsia" w:ascii="宋体" w:hAnsi="宋体" w:eastAsia="宋体" w:cs="宋体"/>
                <w:sz w:val="21"/>
                <w:szCs w:val="21"/>
              </w:rPr>
            </w:pPr>
            <w:r>
              <w:rPr>
                <w:rFonts w:hint="eastAsia" w:ascii="宋体" w:hAnsi="宋体" w:eastAsia="宋体" w:cs="宋体"/>
                <w:sz w:val="21"/>
                <w:szCs w:val="21"/>
              </w:rPr>
              <w:t>（GB50156-2021）第5.0.3条</w:t>
            </w:r>
          </w:p>
        </w:tc>
        <w:tc>
          <w:tcPr>
            <w:tcW w:w="2417" w:type="dxa"/>
            <w:vAlign w:val="center"/>
          </w:tcPr>
          <w:p w14:paraId="52D4AF40">
            <w:pPr>
              <w:bidi w:val="0"/>
              <w:jc w:val="center"/>
              <w:rPr>
                <w:rFonts w:hint="eastAsia" w:ascii="宋体" w:hAnsi="宋体" w:eastAsia="宋体" w:cs="宋体"/>
                <w:sz w:val="21"/>
                <w:szCs w:val="21"/>
              </w:rPr>
            </w:pPr>
            <w:r>
              <w:rPr>
                <w:rFonts w:hint="eastAsia" w:ascii="宋体" w:hAnsi="宋体" w:eastAsia="宋体" w:cs="宋体"/>
                <w:sz w:val="21"/>
                <w:szCs w:val="21"/>
              </w:rPr>
              <w:t>作业区与辅助服务区之间有界线标识。</w:t>
            </w:r>
          </w:p>
        </w:tc>
        <w:tc>
          <w:tcPr>
            <w:tcW w:w="780" w:type="dxa"/>
            <w:vAlign w:val="center"/>
          </w:tcPr>
          <w:p w14:paraId="43F6AE00">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0456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685" w:type="dxa"/>
            <w:tcBorders>
              <w:right w:val="single" w:color="000000" w:sz="2" w:space="0"/>
            </w:tcBorders>
            <w:vAlign w:val="center"/>
          </w:tcPr>
          <w:p w14:paraId="645C6EB5">
            <w:pPr>
              <w:bidi w:val="0"/>
              <w:jc w:val="center"/>
              <w:rPr>
                <w:rFonts w:hint="eastAsia" w:ascii="宋体" w:hAnsi="宋体" w:eastAsia="宋体" w:cs="宋体"/>
                <w:sz w:val="21"/>
                <w:szCs w:val="21"/>
              </w:rPr>
            </w:pPr>
            <w:r>
              <w:rPr>
                <w:rFonts w:hint="eastAsia" w:ascii="宋体" w:hAnsi="宋体" w:eastAsia="宋体" w:cs="宋体"/>
                <w:sz w:val="21"/>
                <w:szCs w:val="21"/>
              </w:rPr>
              <w:t>6</w:t>
            </w:r>
          </w:p>
        </w:tc>
        <w:tc>
          <w:tcPr>
            <w:tcW w:w="2886" w:type="dxa"/>
            <w:tcBorders>
              <w:left w:val="single" w:color="000000" w:sz="2" w:space="0"/>
            </w:tcBorders>
            <w:vAlign w:val="center"/>
          </w:tcPr>
          <w:p w14:paraId="39D81222">
            <w:pPr>
              <w:bidi w:val="0"/>
              <w:jc w:val="center"/>
              <w:rPr>
                <w:rFonts w:hint="eastAsia" w:ascii="宋体" w:hAnsi="宋体" w:eastAsia="宋体" w:cs="宋体"/>
                <w:sz w:val="21"/>
                <w:szCs w:val="21"/>
              </w:rPr>
            </w:pPr>
            <w:r>
              <w:rPr>
                <w:rFonts w:hint="eastAsia" w:ascii="宋体" w:hAnsi="宋体" w:eastAsia="宋体" w:cs="宋体"/>
                <w:sz w:val="21"/>
                <w:szCs w:val="21"/>
              </w:rPr>
              <w:t>加油加气加氢站作业区内，不</w:t>
            </w:r>
          </w:p>
          <w:p w14:paraId="71626F1E">
            <w:pPr>
              <w:bidi w:val="0"/>
              <w:jc w:val="center"/>
              <w:rPr>
                <w:rFonts w:hint="eastAsia" w:ascii="宋体" w:hAnsi="宋体" w:eastAsia="宋体" w:cs="宋体"/>
                <w:sz w:val="21"/>
                <w:szCs w:val="21"/>
              </w:rPr>
            </w:pPr>
            <w:r>
              <w:rPr>
                <w:rFonts w:hint="eastAsia" w:ascii="宋体" w:hAnsi="宋体" w:eastAsia="宋体" w:cs="宋体"/>
                <w:sz w:val="21"/>
                <w:szCs w:val="21"/>
              </w:rPr>
              <w:t>得有“明火地点”或“散发火花地点”。</w:t>
            </w:r>
          </w:p>
        </w:tc>
        <w:tc>
          <w:tcPr>
            <w:tcW w:w="2636" w:type="dxa"/>
            <w:vAlign w:val="center"/>
          </w:tcPr>
          <w:p w14:paraId="32995A82">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446F4541">
            <w:pPr>
              <w:bidi w:val="0"/>
              <w:jc w:val="center"/>
              <w:rPr>
                <w:rFonts w:hint="eastAsia" w:ascii="宋体" w:hAnsi="宋体" w:eastAsia="宋体" w:cs="宋体"/>
                <w:sz w:val="21"/>
                <w:szCs w:val="21"/>
              </w:rPr>
            </w:pPr>
            <w:r>
              <w:rPr>
                <w:rFonts w:hint="eastAsia" w:ascii="宋体" w:hAnsi="宋体" w:eastAsia="宋体" w:cs="宋体"/>
                <w:sz w:val="21"/>
                <w:szCs w:val="21"/>
              </w:rPr>
              <w:t>（GB50156-2021）第5.0.5条</w:t>
            </w:r>
          </w:p>
        </w:tc>
        <w:tc>
          <w:tcPr>
            <w:tcW w:w="2417" w:type="dxa"/>
            <w:vAlign w:val="center"/>
          </w:tcPr>
          <w:p w14:paraId="2E61157D">
            <w:pPr>
              <w:bidi w:val="0"/>
              <w:jc w:val="center"/>
              <w:rPr>
                <w:rFonts w:hint="eastAsia" w:ascii="宋体" w:hAnsi="宋体" w:eastAsia="宋体" w:cs="宋体"/>
                <w:sz w:val="21"/>
                <w:szCs w:val="21"/>
              </w:rPr>
            </w:pPr>
            <w:r>
              <w:rPr>
                <w:rFonts w:hint="eastAsia" w:ascii="宋体" w:hAnsi="宋体" w:eastAsia="宋体" w:cs="宋体"/>
                <w:sz w:val="21"/>
                <w:szCs w:val="21"/>
              </w:rPr>
              <w:t>未设置明火地点。</w:t>
            </w:r>
          </w:p>
        </w:tc>
        <w:tc>
          <w:tcPr>
            <w:tcW w:w="780" w:type="dxa"/>
            <w:vAlign w:val="center"/>
          </w:tcPr>
          <w:p w14:paraId="3EF060F4">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5C649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685" w:type="dxa"/>
            <w:tcBorders>
              <w:right w:val="single" w:color="000000" w:sz="2" w:space="0"/>
            </w:tcBorders>
            <w:vAlign w:val="center"/>
          </w:tcPr>
          <w:p w14:paraId="35D4AEE5">
            <w:pPr>
              <w:bidi w:val="0"/>
              <w:jc w:val="center"/>
              <w:rPr>
                <w:rFonts w:hint="eastAsia" w:ascii="宋体" w:hAnsi="宋体" w:eastAsia="宋体" w:cs="宋体"/>
                <w:sz w:val="21"/>
                <w:szCs w:val="21"/>
              </w:rPr>
            </w:pPr>
            <w:r>
              <w:rPr>
                <w:rFonts w:hint="eastAsia" w:ascii="宋体" w:hAnsi="宋体" w:eastAsia="宋体" w:cs="宋体"/>
                <w:sz w:val="21"/>
                <w:szCs w:val="21"/>
              </w:rPr>
              <w:t>7</w:t>
            </w:r>
          </w:p>
        </w:tc>
        <w:tc>
          <w:tcPr>
            <w:tcW w:w="2886" w:type="dxa"/>
            <w:tcBorders>
              <w:left w:val="single" w:color="000000" w:sz="2" w:space="0"/>
            </w:tcBorders>
            <w:vAlign w:val="center"/>
          </w:tcPr>
          <w:p w14:paraId="77A79C4C">
            <w:pPr>
              <w:bidi w:val="0"/>
              <w:jc w:val="center"/>
              <w:rPr>
                <w:rFonts w:hint="eastAsia" w:ascii="宋体" w:hAnsi="宋体" w:eastAsia="宋体" w:cs="宋体"/>
                <w:sz w:val="21"/>
                <w:szCs w:val="21"/>
              </w:rPr>
            </w:pPr>
            <w:r>
              <w:rPr>
                <w:rFonts w:hint="eastAsia" w:ascii="宋体" w:hAnsi="宋体" w:eastAsia="宋体" w:cs="宋体"/>
                <w:sz w:val="21"/>
                <w:szCs w:val="21"/>
              </w:rPr>
              <w:t>加油加气加氢站的变配电间应布置在作业区之外，变配电间的起算点应为门窗等洞口。</w:t>
            </w:r>
          </w:p>
        </w:tc>
        <w:tc>
          <w:tcPr>
            <w:tcW w:w="2636" w:type="dxa"/>
            <w:vAlign w:val="center"/>
          </w:tcPr>
          <w:p w14:paraId="69B8D8D8">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509EF069">
            <w:pPr>
              <w:bidi w:val="0"/>
              <w:jc w:val="center"/>
              <w:rPr>
                <w:rFonts w:hint="eastAsia" w:ascii="宋体" w:hAnsi="宋体" w:eastAsia="宋体" w:cs="宋体"/>
                <w:sz w:val="21"/>
                <w:szCs w:val="21"/>
              </w:rPr>
            </w:pPr>
            <w:r>
              <w:rPr>
                <w:rFonts w:hint="eastAsia" w:ascii="宋体" w:hAnsi="宋体" w:eastAsia="宋体" w:cs="宋体"/>
                <w:sz w:val="21"/>
                <w:szCs w:val="21"/>
              </w:rPr>
              <w:t>（GB50156-2021）第5.0.8条</w:t>
            </w:r>
          </w:p>
        </w:tc>
        <w:tc>
          <w:tcPr>
            <w:tcW w:w="2417" w:type="dxa"/>
            <w:vAlign w:val="center"/>
          </w:tcPr>
          <w:p w14:paraId="08F86489">
            <w:pPr>
              <w:bidi w:val="0"/>
              <w:jc w:val="center"/>
              <w:rPr>
                <w:rFonts w:hint="eastAsia" w:ascii="宋体" w:hAnsi="宋体" w:eastAsia="宋体" w:cs="宋体"/>
                <w:sz w:val="21"/>
                <w:szCs w:val="21"/>
              </w:rPr>
            </w:pPr>
            <w:r>
              <w:rPr>
                <w:rFonts w:hint="eastAsia" w:ascii="宋体" w:hAnsi="宋体" w:eastAsia="宋体" w:cs="宋体"/>
                <w:sz w:val="21"/>
                <w:szCs w:val="21"/>
              </w:rPr>
              <w:t>配电室设置在作业区之外。</w:t>
            </w:r>
          </w:p>
        </w:tc>
        <w:tc>
          <w:tcPr>
            <w:tcW w:w="780" w:type="dxa"/>
            <w:vAlign w:val="center"/>
          </w:tcPr>
          <w:p w14:paraId="027BEF8D">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54CF8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jc w:val="center"/>
        </w:trPr>
        <w:tc>
          <w:tcPr>
            <w:tcW w:w="685" w:type="dxa"/>
            <w:tcBorders>
              <w:right w:val="single" w:color="000000" w:sz="2" w:space="0"/>
            </w:tcBorders>
            <w:vAlign w:val="center"/>
          </w:tcPr>
          <w:p w14:paraId="3267CF7F">
            <w:pPr>
              <w:bidi w:val="0"/>
              <w:jc w:val="center"/>
              <w:rPr>
                <w:rFonts w:hint="eastAsia" w:ascii="宋体" w:hAnsi="宋体" w:eastAsia="宋体" w:cs="宋体"/>
                <w:sz w:val="21"/>
                <w:szCs w:val="21"/>
              </w:rPr>
            </w:pPr>
            <w:r>
              <w:rPr>
                <w:rFonts w:hint="eastAsia" w:ascii="宋体" w:hAnsi="宋体" w:eastAsia="宋体" w:cs="宋体"/>
                <w:sz w:val="21"/>
                <w:szCs w:val="21"/>
              </w:rPr>
              <w:t>8</w:t>
            </w:r>
          </w:p>
        </w:tc>
        <w:tc>
          <w:tcPr>
            <w:tcW w:w="2886" w:type="dxa"/>
            <w:tcBorders>
              <w:left w:val="single" w:color="000000" w:sz="2" w:space="0"/>
            </w:tcBorders>
            <w:vAlign w:val="center"/>
          </w:tcPr>
          <w:p w14:paraId="1E39AAD2">
            <w:pPr>
              <w:bidi w:val="0"/>
              <w:jc w:val="center"/>
              <w:rPr>
                <w:rFonts w:hint="eastAsia" w:ascii="宋体" w:hAnsi="宋体" w:eastAsia="宋体" w:cs="宋体"/>
                <w:sz w:val="21"/>
                <w:szCs w:val="21"/>
              </w:rPr>
            </w:pPr>
            <w:r>
              <w:rPr>
                <w:rFonts w:hint="eastAsia" w:ascii="宋体" w:hAnsi="宋体" w:eastAsia="宋体" w:cs="宋体"/>
                <w:sz w:val="21"/>
                <w:szCs w:val="21"/>
              </w:rPr>
              <w:t>站房不应布置在爆炸危险区域。站房部分位于作业区内时，建筑面积等应符合本标准第14.2.10条的规定。</w:t>
            </w:r>
          </w:p>
        </w:tc>
        <w:tc>
          <w:tcPr>
            <w:tcW w:w="2636" w:type="dxa"/>
            <w:vAlign w:val="center"/>
          </w:tcPr>
          <w:p w14:paraId="66FAFEDB">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0532CCFE">
            <w:pPr>
              <w:bidi w:val="0"/>
              <w:jc w:val="center"/>
              <w:rPr>
                <w:rFonts w:hint="eastAsia" w:ascii="宋体" w:hAnsi="宋体" w:eastAsia="宋体" w:cs="宋体"/>
                <w:sz w:val="21"/>
                <w:szCs w:val="21"/>
              </w:rPr>
            </w:pPr>
            <w:r>
              <w:rPr>
                <w:rFonts w:hint="eastAsia" w:ascii="宋体" w:hAnsi="宋体" w:eastAsia="宋体" w:cs="宋体"/>
                <w:sz w:val="21"/>
                <w:szCs w:val="21"/>
              </w:rPr>
              <w:t>（GB50156-2021）第5.0.9条</w:t>
            </w:r>
          </w:p>
        </w:tc>
        <w:tc>
          <w:tcPr>
            <w:tcW w:w="2417" w:type="dxa"/>
            <w:vAlign w:val="center"/>
          </w:tcPr>
          <w:p w14:paraId="4DC13A28">
            <w:pPr>
              <w:bidi w:val="0"/>
              <w:jc w:val="center"/>
              <w:rPr>
                <w:rFonts w:hint="eastAsia" w:ascii="宋体" w:hAnsi="宋体" w:eastAsia="宋体" w:cs="宋体"/>
                <w:sz w:val="21"/>
                <w:szCs w:val="21"/>
              </w:rPr>
            </w:pPr>
            <w:r>
              <w:rPr>
                <w:rFonts w:hint="eastAsia" w:ascii="宋体" w:hAnsi="宋体" w:eastAsia="宋体" w:cs="宋体"/>
                <w:sz w:val="21"/>
                <w:szCs w:val="21"/>
              </w:rPr>
              <w:t>站房布置满足要求。</w:t>
            </w:r>
          </w:p>
        </w:tc>
        <w:tc>
          <w:tcPr>
            <w:tcW w:w="780" w:type="dxa"/>
            <w:vAlign w:val="center"/>
          </w:tcPr>
          <w:p w14:paraId="5CB712DD">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546ED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jc w:val="center"/>
        </w:trPr>
        <w:tc>
          <w:tcPr>
            <w:tcW w:w="685" w:type="dxa"/>
            <w:tcBorders>
              <w:right w:val="single" w:color="000000" w:sz="2" w:space="0"/>
            </w:tcBorders>
            <w:vAlign w:val="center"/>
          </w:tcPr>
          <w:p w14:paraId="0A1E1D0D">
            <w:pPr>
              <w:spacing w:before="58" w:line="195" w:lineRule="auto"/>
              <w:jc w:val="center"/>
              <w:rPr>
                <w:rFonts w:hint="eastAsia" w:ascii="宋体" w:hAnsi="宋体" w:eastAsia="宋体" w:cs="宋体"/>
                <w:sz w:val="21"/>
                <w:szCs w:val="21"/>
              </w:rPr>
            </w:pPr>
            <w:r>
              <w:rPr>
                <w:rFonts w:hint="eastAsia" w:ascii="宋体" w:hAnsi="宋体" w:eastAsia="宋体" w:cs="宋体"/>
                <w:sz w:val="21"/>
                <w:szCs w:val="21"/>
              </w:rPr>
              <w:t>9</w:t>
            </w:r>
          </w:p>
        </w:tc>
        <w:tc>
          <w:tcPr>
            <w:tcW w:w="2886" w:type="dxa"/>
            <w:tcBorders>
              <w:left w:val="single" w:color="000000" w:sz="2" w:space="0"/>
            </w:tcBorders>
            <w:vAlign w:val="center"/>
          </w:tcPr>
          <w:p w14:paraId="38D437F2">
            <w:pPr>
              <w:pStyle w:val="42"/>
              <w:spacing w:before="31" w:line="245" w:lineRule="auto"/>
              <w:ind w:left="108" w:right="105" w:firstLine="89"/>
              <w:jc w:val="center"/>
              <w:rPr>
                <w:rFonts w:hint="eastAsia" w:ascii="宋体" w:hAnsi="宋体" w:eastAsia="宋体" w:cs="宋体"/>
                <w:sz w:val="21"/>
                <w:szCs w:val="21"/>
              </w:rPr>
            </w:pPr>
            <w:r>
              <w:rPr>
                <w:rFonts w:hint="eastAsia" w:ascii="宋体" w:hAnsi="宋体" w:eastAsia="宋体" w:cs="宋体"/>
                <w:spacing w:val="7"/>
                <w:sz w:val="21"/>
                <w:szCs w:val="21"/>
              </w:rPr>
              <w:t>当汽车加油加气加氢站内设</w:t>
            </w:r>
            <w:r>
              <w:rPr>
                <w:rFonts w:hint="eastAsia" w:ascii="宋体" w:hAnsi="宋体" w:eastAsia="宋体" w:cs="宋体"/>
                <w:spacing w:val="4"/>
                <w:sz w:val="21"/>
                <w:szCs w:val="21"/>
              </w:rPr>
              <w:t>置非油品业务建筑物时，不应布置在作业区内，与站内可燃液体设备的防火间距，应符合</w:t>
            </w:r>
          </w:p>
          <w:p w14:paraId="1E7722C8">
            <w:pPr>
              <w:pStyle w:val="42"/>
              <w:spacing w:before="24" w:line="235" w:lineRule="auto"/>
              <w:ind w:left="290" w:right="105" w:hanging="180"/>
              <w:jc w:val="center"/>
              <w:rPr>
                <w:rFonts w:hint="eastAsia" w:ascii="宋体" w:hAnsi="宋体" w:eastAsia="宋体" w:cs="宋体"/>
                <w:sz w:val="21"/>
                <w:szCs w:val="21"/>
              </w:rPr>
            </w:pPr>
            <w:r>
              <w:rPr>
                <w:rFonts w:hint="eastAsia" w:ascii="宋体" w:hAnsi="宋体" w:eastAsia="宋体" w:cs="宋体"/>
                <w:spacing w:val="3"/>
                <w:sz w:val="21"/>
                <w:szCs w:val="21"/>
              </w:rPr>
              <w:t>本标准第4.0.4条～第4.0.8条</w:t>
            </w:r>
            <w:r>
              <w:rPr>
                <w:rFonts w:hint="eastAsia" w:ascii="宋体" w:hAnsi="宋体" w:eastAsia="宋体" w:cs="宋体"/>
                <w:spacing w:val="8"/>
                <w:sz w:val="21"/>
                <w:szCs w:val="21"/>
              </w:rPr>
              <w:t>有关三类保护物的规定。</w:t>
            </w:r>
          </w:p>
        </w:tc>
        <w:tc>
          <w:tcPr>
            <w:tcW w:w="2636" w:type="dxa"/>
            <w:vAlign w:val="center"/>
          </w:tcPr>
          <w:p w14:paraId="538CF4C4">
            <w:pPr>
              <w:pStyle w:val="42"/>
              <w:spacing w:before="301" w:line="239" w:lineRule="auto"/>
              <w:ind w:right="164"/>
              <w:jc w:val="center"/>
              <w:rPr>
                <w:rFonts w:hint="eastAsia" w:ascii="宋体" w:hAnsi="宋体" w:eastAsia="宋体" w:cs="宋体"/>
                <w:sz w:val="21"/>
                <w:szCs w:val="21"/>
              </w:rPr>
            </w:pPr>
            <w:r>
              <w:rPr>
                <w:rFonts w:hint="eastAsia" w:ascii="宋体" w:hAnsi="宋体" w:eastAsia="宋体" w:cs="宋体"/>
                <w:spacing w:val="8"/>
                <w:sz w:val="21"/>
                <w:szCs w:val="21"/>
              </w:rPr>
              <w:t>《汽车加油加气加氢站</w:t>
            </w:r>
            <w:r>
              <w:rPr>
                <w:rFonts w:hint="eastAsia" w:ascii="宋体" w:hAnsi="宋体" w:eastAsia="宋体" w:cs="宋体"/>
                <w:spacing w:val="5"/>
                <w:sz w:val="21"/>
                <w:szCs w:val="21"/>
              </w:rPr>
              <w:t>技术标准》</w:t>
            </w:r>
          </w:p>
          <w:p w14:paraId="76DE9E61">
            <w:pPr>
              <w:pStyle w:val="42"/>
              <w:spacing w:before="26" w:line="239" w:lineRule="auto"/>
              <w:ind w:left="827" w:right="246" w:hanging="567"/>
              <w:jc w:val="center"/>
              <w:rPr>
                <w:rFonts w:hint="eastAsia" w:ascii="宋体" w:hAnsi="宋体" w:eastAsia="宋体" w:cs="宋体"/>
                <w:spacing w:val="5"/>
                <w:sz w:val="21"/>
                <w:szCs w:val="21"/>
              </w:rPr>
            </w:pPr>
            <w:r>
              <w:rPr>
                <w:rFonts w:hint="eastAsia" w:ascii="宋体" w:hAnsi="宋体" w:eastAsia="宋体" w:cs="宋体"/>
                <w:spacing w:val="5"/>
                <w:sz w:val="21"/>
                <w:szCs w:val="21"/>
              </w:rPr>
              <w:t>（</w:t>
            </w:r>
            <w:r>
              <w:rPr>
                <w:rFonts w:hint="eastAsia" w:ascii="宋体" w:hAnsi="宋体" w:eastAsia="宋体" w:cs="宋体"/>
                <w:sz w:val="21"/>
                <w:szCs w:val="21"/>
              </w:rPr>
              <w:t>GB</w:t>
            </w:r>
            <w:r>
              <w:rPr>
                <w:rFonts w:hint="eastAsia" w:ascii="宋体" w:hAnsi="宋体" w:eastAsia="宋体" w:cs="宋体"/>
                <w:spacing w:val="5"/>
                <w:sz w:val="21"/>
                <w:szCs w:val="21"/>
              </w:rPr>
              <w:t>50156-2021）</w:t>
            </w:r>
          </w:p>
          <w:p w14:paraId="3615BB6B">
            <w:pPr>
              <w:pStyle w:val="42"/>
              <w:spacing w:before="26" w:line="239" w:lineRule="auto"/>
              <w:ind w:left="827" w:right="246" w:hanging="567"/>
              <w:jc w:val="center"/>
              <w:rPr>
                <w:rFonts w:hint="eastAsia" w:ascii="宋体" w:hAnsi="宋体" w:eastAsia="宋体" w:cs="宋体"/>
                <w:sz w:val="21"/>
                <w:szCs w:val="21"/>
              </w:rPr>
            </w:pPr>
            <w:r>
              <w:rPr>
                <w:rFonts w:hint="eastAsia" w:ascii="宋体" w:hAnsi="宋体" w:eastAsia="宋体" w:cs="宋体"/>
                <w:spacing w:val="5"/>
                <w:sz w:val="21"/>
                <w:szCs w:val="21"/>
              </w:rPr>
              <w:t>第</w:t>
            </w:r>
            <w:r>
              <w:rPr>
                <w:rFonts w:hint="eastAsia" w:ascii="宋体" w:hAnsi="宋体" w:eastAsia="宋体" w:cs="宋体"/>
                <w:spacing w:val="-2"/>
                <w:sz w:val="21"/>
                <w:szCs w:val="21"/>
              </w:rPr>
              <w:t>5.0.10条</w:t>
            </w:r>
          </w:p>
        </w:tc>
        <w:tc>
          <w:tcPr>
            <w:tcW w:w="2417" w:type="dxa"/>
            <w:vAlign w:val="center"/>
          </w:tcPr>
          <w:p w14:paraId="7C1625E6">
            <w:pPr>
              <w:pStyle w:val="42"/>
              <w:spacing w:before="65" w:line="241" w:lineRule="auto"/>
              <w:ind w:right="149"/>
              <w:jc w:val="center"/>
              <w:rPr>
                <w:rFonts w:hint="eastAsia" w:ascii="宋体" w:hAnsi="宋体" w:eastAsia="宋体" w:cs="宋体"/>
                <w:sz w:val="21"/>
                <w:szCs w:val="21"/>
              </w:rPr>
            </w:pPr>
            <w:r>
              <w:rPr>
                <w:rFonts w:hint="eastAsia" w:ascii="宋体" w:hAnsi="宋体" w:eastAsia="宋体" w:cs="宋体"/>
                <w:spacing w:val="8"/>
                <w:sz w:val="21"/>
                <w:szCs w:val="21"/>
              </w:rPr>
              <w:t>非油品业务建筑物布置满</w:t>
            </w:r>
            <w:r>
              <w:rPr>
                <w:rFonts w:hint="eastAsia" w:ascii="宋体" w:hAnsi="宋体" w:eastAsia="宋体" w:cs="宋体"/>
                <w:spacing w:val="4"/>
                <w:sz w:val="21"/>
                <w:szCs w:val="21"/>
              </w:rPr>
              <w:t>足要求。</w:t>
            </w:r>
          </w:p>
        </w:tc>
        <w:tc>
          <w:tcPr>
            <w:tcW w:w="780" w:type="dxa"/>
            <w:vAlign w:val="center"/>
          </w:tcPr>
          <w:p w14:paraId="25B915F2">
            <w:pPr>
              <w:pStyle w:val="42"/>
              <w:spacing w:before="65" w:line="228" w:lineRule="auto"/>
              <w:jc w:val="center"/>
              <w:rPr>
                <w:rFonts w:hint="eastAsia" w:ascii="宋体" w:hAnsi="宋体" w:eastAsia="宋体" w:cs="宋体"/>
                <w:sz w:val="21"/>
                <w:szCs w:val="21"/>
              </w:rPr>
            </w:pPr>
            <w:r>
              <w:rPr>
                <w:rFonts w:hint="eastAsia" w:ascii="宋体" w:hAnsi="宋体" w:eastAsia="宋体" w:cs="宋体"/>
                <w:spacing w:val="3"/>
                <w:sz w:val="21"/>
                <w:szCs w:val="21"/>
              </w:rPr>
              <w:t>符合</w:t>
            </w:r>
          </w:p>
        </w:tc>
      </w:tr>
      <w:tr w14:paraId="5F021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685" w:type="dxa"/>
            <w:tcBorders>
              <w:right w:val="single" w:color="000000" w:sz="2" w:space="0"/>
            </w:tcBorders>
            <w:vAlign w:val="center"/>
          </w:tcPr>
          <w:p w14:paraId="3393F4F7">
            <w:pPr>
              <w:spacing w:before="58" w:line="195" w:lineRule="auto"/>
              <w:jc w:val="center"/>
              <w:rPr>
                <w:rFonts w:hint="eastAsia" w:ascii="宋体" w:hAnsi="宋体" w:eastAsia="宋体" w:cs="宋体"/>
                <w:sz w:val="21"/>
                <w:szCs w:val="21"/>
              </w:rPr>
            </w:pPr>
            <w:r>
              <w:rPr>
                <w:rFonts w:hint="eastAsia" w:ascii="宋体" w:hAnsi="宋体" w:eastAsia="宋体" w:cs="宋体"/>
                <w:spacing w:val="-8"/>
                <w:sz w:val="21"/>
                <w:szCs w:val="21"/>
              </w:rPr>
              <w:t>10</w:t>
            </w:r>
          </w:p>
        </w:tc>
        <w:tc>
          <w:tcPr>
            <w:tcW w:w="2886" w:type="dxa"/>
            <w:tcBorders>
              <w:left w:val="single" w:color="000000" w:sz="2" w:space="0"/>
            </w:tcBorders>
            <w:vAlign w:val="center"/>
          </w:tcPr>
          <w:p w14:paraId="61A275F3">
            <w:pPr>
              <w:pStyle w:val="42"/>
              <w:spacing w:before="166" w:line="226" w:lineRule="auto"/>
              <w:ind w:left="184"/>
              <w:jc w:val="center"/>
              <w:rPr>
                <w:rFonts w:hint="eastAsia" w:ascii="宋体" w:hAnsi="宋体" w:eastAsia="宋体" w:cs="宋体"/>
                <w:sz w:val="21"/>
                <w:szCs w:val="21"/>
              </w:rPr>
            </w:pPr>
            <w:r>
              <w:rPr>
                <w:rFonts w:hint="eastAsia" w:ascii="宋体" w:hAnsi="宋体" w:eastAsia="宋体" w:cs="宋体"/>
                <w:spacing w:val="9"/>
                <w:sz w:val="21"/>
                <w:szCs w:val="21"/>
              </w:rPr>
              <w:t>汽车加油加气加氢站内的爆</w:t>
            </w:r>
          </w:p>
          <w:p w14:paraId="4D34DA99">
            <w:pPr>
              <w:pStyle w:val="42"/>
              <w:spacing w:before="27"/>
              <w:ind w:left="603" w:right="105" w:hanging="491"/>
              <w:jc w:val="center"/>
              <w:rPr>
                <w:rFonts w:hint="eastAsia" w:ascii="宋体" w:hAnsi="宋体" w:eastAsia="宋体" w:cs="宋体"/>
                <w:sz w:val="21"/>
                <w:szCs w:val="21"/>
              </w:rPr>
            </w:pPr>
            <w:r>
              <w:rPr>
                <w:rFonts w:hint="eastAsia" w:ascii="宋体" w:hAnsi="宋体" w:eastAsia="宋体" w:cs="宋体"/>
                <w:spacing w:val="4"/>
                <w:sz w:val="21"/>
                <w:szCs w:val="21"/>
              </w:rPr>
              <w:t>炸危险区域，不应超出站区围</w:t>
            </w:r>
            <w:r>
              <w:rPr>
                <w:rFonts w:hint="eastAsia" w:ascii="宋体" w:hAnsi="宋体" w:eastAsia="宋体" w:cs="宋体"/>
                <w:spacing w:val="7"/>
                <w:sz w:val="21"/>
                <w:szCs w:val="21"/>
              </w:rPr>
              <w:t>墙和可用地界线。</w:t>
            </w:r>
          </w:p>
        </w:tc>
        <w:tc>
          <w:tcPr>
            <w:tcW w:w="2636" w:type="dxa"/>
            <w:vAlign w:val="center"/>
          </w:tcPr>
          <w:p w14:paraId="49AFCB03">
            <w:pPr>
              <w:pStyle w:val="4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8"/>
                <w:sz w:val="21"/>
                <w:szCs w:val="21"/>
              </w:rPr>
              <w:t>《汽车加油加气加氢站</w:t>
            </w:r>
            <w:r>
              <w:rPr>
                <w:rFonts w:hint="eastAsia" w:ascii="宋体" w:hAnsi="宋体" w:eastAsia="宋体" w:cs="宋体"/>
                <w:spacing w:val="5"/>
                <w:sz w:val="21"/>
                <w:szCs w:val="21"/>
              </w:rPr>
              <w:t>技术标准》</w:t>
            </w:r>
          </w:p>
          <w:p w14:paraId="22DA7284">
            <w:pPr>
              <w:pStyle w:val="4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5"/>
                <w:sz w:val="21"/>
                <w:szCs w:val="21"/>
              </w:rPr>
            </w:pPr>
            <w:r>
              <w:rPr>
                <w:rFonts w:hint="eastAsia" w:ascii="宋体" w:hAnsi="宋体" w:eastAsia="宋体" w:cs="宋体"/>
                <w:spacing w:val="5"/>
                <w:sz w:val="21"/>
                <w:szCs w:val="21"/>
              </w:rPr>
              <w:t>（</w:t>
            </w:r>
            <w:r>
              <w:rPr>
                <w:rFonts w:hint="eastAsia" w:ascii="宋体" w:hAnsi="宋体" w:eastAsia="宋体" w:cs="宋体"/>
                <w:sz w:val="21"/>
                <w:szCs w:val="21"/>
              </w:rPr>
              <w:t>GB</w:t>
            </w:r>
            <w:r>
              <w:rPr>
                <w:rFonts w:hint="eastAsia" w:ascii="宋体" w:hAnsi="宋体" w:eastAsia="宋体" w:cs="宋体"/>
                <w:spacing w:val="5"/>
                <w:sz w:val="21"/>
                <w:szCs w:val="21"/>
              </w:rPr>
              <w:t>50156-2021）</w:t>
            </w:r>
          </w:p>
          <w:p w14:paraId="7147B5FC">
            <w:pPr>
              <w:pStyle w:val="4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第</w:t>
            </w:r>
            <w:r>
              <w:rPr>
                <w:rFonts w:hint="eastAsia" w:ascii="宋体" w:hAnsi="宋体" w:eastAsia="宋体" w:cs="宋体"/>
                <w:spacing w:val="-3"/>
                <w:sz w:val="21"/>
                <w:szCs w:val="21"/>
              </w:rPr>
              <w:t>5.0.11条</w:t>
            </w:r>
          </w:p>
        </w:tc>
        <w:tc>
          <w:tcPr>
            <w:tcW w:w="2417" w:type="dxa"/>
            <w:vAlign w:val="center"/>
          </w:tcPr>
          <w:p w14:paraId="50E8BE7C">
            <w:pPr>
              <w:pStyle w:val="42"/>
              <w:spacing w:before="304" w:line="239" w:lineRule="auto"/>
              <w:ind w:right="149"/>
              <w:jc w:val="both"/>
              <w:rPr>
                <w:rFonts w:hint="eastAsia" w:ascii="宋体" w:hAnsi="宋体" w:eastAsia="宋体" w:cs="宋体"/>
                <w:sz w:val="21"/>
                <w:szCs w:val="21"/>
              </w:rPr>
            </w:pPr>
            <w:r>
              <w:rPr>
                <w:rFonts w:hint="eastAsia" w:ascii="宋体" w:hAnsi="宋体" w:eastAsia="宋体" w:cs="宋体"/>
                <w:spacing w:val="9"/>
                <w:sz w:val="21"/>
                <w:szCs w:val="21"/>
              </w:rPr>
              <w:t>站内的爆炸危险区域未超</w:t>
            </w:r>
            <w:r>
              <w:rPr>
                <w:rFonts w:hint="eastAsia" w:ascii="宋体" w:hAnsi="宋体" w:eastAsia="宋体" w:cs="宋体"/>
                <w:spacing w:val="6"/>
                <w:sz w:val="21"/>
                <w:szCs w:val="21"/>
              </w:rPr>
              <w:t>出围墙和可用地界线。</w:t>
            </w:r>
          </w:p>
        </w:tc>
        <w:tc>
          <w:tcPr>
            <w:tcW w:w="780" w:type="dxa"/>
            <w:vAlign w:val="center"/>
          </w:tcPr>
          <w:p w14:paraId="64F5597C">
            <w:pPr>
              <w:pStyle w:val="42"/>
              <w:spacing w:before="65" w:line="228" w:lineRule="auto"/>
              <w:jc w:val="center"/>
              <w:rPr>
                <w:rFonts w:hint="eastAsia" w:ascii="宋体" w:hAnsi="宋体" w:eastAsia="宋体" w:cs="宋体"/>
                <w:sz w:val="21"/>
                <w:szCs w:val="21"/>
              </w:rPr>
            </w:pPr>
            <w:r>
              <w:rPr>
                <w:rFonts w:hint="eastAsia" w:ascii="宋体" w:hAnsi="宋体" w:eastAsia="宋体" w:cs="宋体"/>
                <w:spacing w:val="3"/>
                <w:sz w:val="21"/>
                <w:szCs w:val="21"/>
              </w:rPr>
              <w:t>符合</w:t>
            </w:r>
          </w:p>
        </w:tc>
      </w:tr>
      <w:tr w14:paraId="4370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1" w:hRule="atLeast"/>
          <w:jc w:val="center"/>
        </w:trPr>
        <w:tc>
          <w:tcPr>
            <w:tcW w:w="685" w:type="dxa"/>
            <w:tcBorders>
              <w:right w:val="single" w:color="000000" w:sz="2" w:space="0"/>
            </w:tcBorders>
            <w:vAlign w:val="center"/>
          </w:tcPr>
          <w:p w14:paraId="4223B623">
            <w:pPr>
              <w:spacing w:before="58" w:line="195" w:lineRule="auto"/>
              <w:jc w:val="center"/>
              <w:rPr>
                <w:rFonts w:hint="eastAsia" w:ascii="宋体" w:hAnsi="宋体" w:eastAsia="宋体" w:cs="宋体"/>
                <w:sz w:val="21"/>
                <w:szCs w:val="21"/>
              </w:rPr>
            </w:pPr>
            <w:r>
              <w:rPr>
                <w:rFonts w:hint="eastAsia" w:ascii="宋体" w:hAnsi="宋体" w:eastAsia="宋体" w:cs="宋体"/>
                <w:spacing w:val="-10"/>
                <w:sz w:val="21"/>
                <w:szCs w:val="21"/>
              </w:rPr>
              <w:t>11</w:t>
            </w:r>
          </w:p>
        </w:tc>
        <w:tc>
          <w:tcPr>
            <w:tcW w:w="2886" w:type="dxa"/>
            <w:tcBorders>
              <w:left w:val="single" w:color="000000" w:sz="2" w:space="0"/>
            </w:tcBorders>
            <w:vAlign w:val="center"/>
          </w:tcPr>
          <w:p w14:paraId="06F82092">
            <w:pPr>
              <w:pStyle w:val="42"/>
              <w:spacing w:before="31" w:line="249" w:lineRule="auto"/>
              <w:ind w:left="110" w:right="50" w:firstLine="73"/>
              <w:jc w:val="center"/>
              <w:rPr>
                <w:rFonts w:hint="eastAsia" w:ascii="宋体" w:hAnsi="宋体" w:eastAsia="宋体" w:cs="宋体"/>
                <w:sz w:val="21"/>
                <w:szCs w:val="21"/>
              </w:rPr>
            </w:pPr>
            <w:r>
              <w:rPr>
                <w:rFonts w:hint="eastAsia" w:ascii="宋体" w:hAnsi="宋体" w:eastAsia="宋体" w:cs="宋体"/>
                <w:spacing w:val="9"/>
                <w:sz w:val="21"/>
                <w:szCs w:val="21"/>
              </w:rPr>
              <w:t>汽车加油加气加氢站的工艺</w:t>
            </w:r>
            <w:r>
              <w:rPr>
                <w:rFonts w:hint="eastAsia" w:ascii="宋体" w:hAnsi="宋体" w:eastAsia="宋体" w:cs="宋体"/>
                <w:spacing w:val="-6"/>
                <w:sz w:val="21"/>
                <w:szCs w:val="21"/>
              </w:rPr>
              <w:t>设备与站外建（构）筑物之间，</w:t>
            </w:r>
            <w:r>
              <w:rPr>
                <w:rFonts w:hint="eastAsia" w:ascii="宋体" w:hAnsi="宋体" w:eastAsia="宋体" w:cs="宋体"/>
                <w:spacing w:val="4"/>
                <w:sz w:val="21"/>
                <w:szCs w:val="21"/>
              </w:rPr>
              <w:t>宜设置不燃烧实体围墙，围墙</w:t>
            </w:r>
            <w:r>
              <w:rPr>
                <w:rFonts w:hint="eastAsia" w:ascii="宋体" w:hAnsi="宋体" w:eastAsia="宋体" w:cs="宋体"/>
                <w:spacing w:val="15"/>
                <w:sz w:val="21"/>
                <w:szCs w:val="21"/>
              </w:rPr>
              <w:t>高度相对于站内和站外地界</w:t>
            </w:r>
            <w:r>
              <w:rPr>
                <w:rFonts w:hint="eastAsia" w:ascii="宋体" w:hAnsi="宋体" w:eastAsia="宋体" w:cs="宋体"/>
                <w:spacing w:val="8"/>
                <w:sz w:val="21"/>
                <w:szCs w:val="21"/>
              </w:rPr>
              <w:t>均不宜低于2.2m。当汽车加</w:t>
            </w:r>
            <w:r>
              <w:rPr>
                <w:rFonts w:hint="eastAsia" w:ascii="宋体" w:hAnsi="宋体" w:eastAsia="宋体" w:cs="宋体"/>
                <w:spacing w:val="15"/>
                <w:sz w:val="21"/>
                <w:szCs w:val="21"/>
              </w:rPr>
              <w:t>油加气加氢站的工艺设备与</w:t>
            </w:r>
            <w:r>
              <w:rPr>
                <w:rFonts w:hint="eastAsia" w:ascii="宋体" w:hAnsi="宋体" w:eastAsia="宋体" w:cs="宋体"/>
                <w:spacing w:val="4"/>
                <w:sz w:val="21"/>
                <w:szCs w:val="21"/>
              </w:rPr>
              <w:t>站外建（构）筑物之间的距离</w:t>
            </w:r>
            <w:r>
              <w:rPr>
                <w:rFonts w:hint="eastAsia" w:ascii="宋体" w:hAnsi="宋体" w:eastAsia="宋体" w:cs="宋体"/>
                <w:spacing w:val="5"/>
                <w:sz w:val="21"/>
                <w:szCs w:val="21"/>
              </w:rPr>
              <w:t>大于本标准表4.0.4～表4.0.8中安全间距的1.5倍，且大于</w:t>
            </w:r>
            <w:r>
              <w:rPr>
                <w:rFonts w:hint="eastAsia" w:ascii="宋体" w:hAnsi="宋体" w:eastAsia="宋体" w:cs="宋体"/>
                <w:spacing w:val="6"/>
                <w:sz w:val="21"/>
                <w:szCs w:val="21"/>
              </w:rPr>
              <w:t>25m时，可设置非实体围墙。</w:t>
            </w:r>
            <w:r>
              <w:rPr>
                <w:rFonts w:hint="eastAsia" w:ascii="宋体" w:hAnsi="宋体" w:eastAsia="宋体" w:cs="宋体"/>
                <w:spacing w:val="9"/>
                <w:sz w:val="21"/>
                <w:szCs w:val="21"/>
              </w:rPr>
              <w:t>面向车辆入口和出口道路的</w:t>
            </w:r>
            <w:r>
              <w:rPr>
                <w:rFonts w:hint="eastAsia" w:ascii="宋体" w:hAnsi="宋体" w:eastAsia="宋体" w:cs="宋体"/>
                <w:spacing w:val="8"/>
                <w:sz w:val="21"/>
                <w:szCs w:val="21"/>
              </w:rPr>
              <w:t>一侧可设非实体围墙或不设</w:t>
            </w:r>
            <w:r>
              <w:rPr>
                <w:rFonts w:hint="eastAsia" w:ascii="宋体" w:hAnsi="宋体" w:eastAsia="宋体" w:cs="宋体"/>
                <w:spacing w:val="-4"/>
                <w:sz w:val="21"/>
                <w:szCs w:val="21"/>
              </w:rPr>
              <w:t>围墙。</w:t>
            </w:r>
          </w:p>
        </w:tc>
        <w:tc>
          <w:tcPr>
            <w:tcW w:w="2636" w:type="dxa"/>
            <w:vAlign w:val="center"/>
          </w:tcPr>
          <w:p w14:paraId="7E4AF437">
            <w:pPr>
              <w:pStyle w:val="42"/>
              <w:spacing w:before="65" w:line="239" w:lineRule="auto"/>
              <w:ind w:right="164"/>
              <w:jc w:val="center"/>
              <w:rPr>
                <w:rFonts w:hint="eastAsia" w:ascii="宋体" w:hAnsi="宋体" w:eastAsia="宋体" w:cs="宋体"/>
                <w:sz w:val="21"/>
                <w:szCs w:val="21"/>
              </w:rPr>
            </w:pPr>
            <w:r>
              <w:rPr>
                <w:rFonts w:hint="eastAsia" w:ascii="宋体" w:hAnsi="宋体" w:eastAsia="宋体" w:cs="宋体"/>
                <w:spacing w:val="8"/>
                <w:sz w:val="21"/>
                <w:szCs w:val="21"/>
              </w:rPr>
              <w:t>《汽车加油加气加氢站</w:t>
            </w:r>
            <w:r>
              <w:rPr>
                <w:rFonts w:hint="eastAsia" w:ascii="宋体" w:hAnsi="宋体" w:eastAsia="宋体" w:cs="宋体"/>
                <w:spacing w:val="5"/>
                <w:sz w:val="21"/>
                <w:szCs w:val="21"/>
              </w:rPr>
              <w:t>技术标准》</w:t>
            </w:r>
          </w:p>
          <w:p w14:paraId="4CDBAF8D">
            <w:pPr>
              <w:pStyle w:val="42"/>
              <w:spacing w:before="24"/>
              <w:ind w:left="827" w:right="246" w:hanging="567"/>
              <w:jc w:val="center"/>
              <w:rPr>
                <w:rFonts w:hint="eastAsia" w:ascii="宋体" w:hAnsi="宋体" w:eastAsia="宋体" w:cs="宋体"/>
                <w:spacing w:val="5"/>
                <w:sz w:val="21"/>
                <w:szCs w:val="21"/>
              </w:rPr>
            </w:pPr>
            <w:r>
              <w:rPr>
                <w:rFonts w:hint="eastAsia" w:ascii="宋体" w:hAnsi="宋体" w:eastAsia="宋体" w:cs="宋体"/>
                <w:spacing w:val="5"/>
                <w:sz w:val="21"/>
                <w:szCs w:val="21"/>
              </w:rPr>
              <w:t>（</w:t>
            </w:r>
            <w:r>
              <w:rPr>
                <w:rFonts w:hint="eastAsia" w:ascii="宋体" w:hAnsi="宋体" w:eastAsia="宋体" w:cs="宋体"/>
                <w:sz w:val="21"/>
                <w:szCs w:val="21"/>
              </w:rPr>
              <w:t>GB</w:t>
            </w:r>
            <w:r>
              <w:rPr>
                <w:rFonts w:hint="eastAsia" w:ascii="宋体" w:hAnsi="宋体" w:eastAsia="宋体" w:cs="宋体"/>
                <w:spacing w:val="5"/>
                <w:sz w:val="21"/>
                <w:szCs w:val="21"/>
              </w:rPr>
              <w:t>50156-2021）</w:t>
            </w:r>
          </w:p>
          <w:p w14:paraId="77A566C6">
            <w:pPr>
              <w:pStyle w:val="42"/>
              <w:spacing w:before="24"/>
              <w:ind w:left="827" w:right="246" w:hanging="567"/>
              <w:jc w:val="center"/>
              <w:rPr>
                <w:rFonts w:hint="eastAsia" w:ascii="宋体" w:hAnsi="宋体" w:eastAsia="宋体" w:cs="宋体"/>
                <w:sz w:val="21"/>
                <w:szCs w:val="21"/>
              </w:rPr>
            </w:pPr>
            <w:r>
              <w:rPr>
                <w:rFonts w:hint="eastAsia" w:ascii="宋体" w:hAnsi="宋体" w:eastAsia="宋体" w:cs="宋体"/>
                <w:spacing w:val="5"/>
                <w:sz w:val="21"/>
                <w:szCs w:val="21"/>
              </w:rPr>
              <w:t>第</w:t>
            </w:r>
            <w:r>
              <w:rPr>
                <w:rFonts w:hint="eastAsia" w:ascii="宋体" w:hAnsi="宋体" w:eastAsia="宋体" w:cs="宋体"/>
                <w:spacing w:val="-2"/>
                <w:sz w:val="21"/>
                <w:szCs w:val="21"/>
              </w:rPr>
              <w:t>5.0.12条</w:t>
            </w:r>
          </w:p>
        </w:tc>
        <w:tc>
          <w:tcPr>
            <w:tcW w:w="2417" w:type="dxa"/>
            <w:vAlign w:val="center"/>
          </w:tcPr>
          <w:p w14:paraId="764FF2C7">
            <w:pPr>
              <w:pStyle w:val="42"/>
              <w:spacing w:before="65" w:line="228" w:lineRule="auto"/>
              <w:jc w:val="center"/>
              <w:rPr>
                <w:rFonts w:hint="eastAsia" w:ascii="宋体" w:hAnsi="宋体" w:eastAsia="宋体" w:cs="宋体"/>
                <w:sz w:val="21"/>
                <w:szCs w:val="21"/>
                <w:lang w:val="en-US" w:eastAsia="zh-CN"/>
              </w:rPr>
            </w:pPr>
            <w:r>
              <w:rPr>
                <w:rFonts w:hint="eastAsia" w:ascii="宋体" w:hAnsi="宋体"/>
                <w:bCs/>
                <w:color w:val="000000" w:themeColor="text1"/>
                <w:sz w:val="21"/>
                <w:szCs w:val="21"/>
                <w:shd w:val="clear" w:color="auto" w:fill="auto"/>
                <w14:textFill>
                  <w14:solidFill>
                    <w14:schemeClr w14:val="tx1"/>
                  </w14:solidFill>
                </w14:textFill>
              </w:rPr>
              <w:t>除进出口一侧采用敞开设置其他几面均为实体围墙。</w:t>
            </w:r>
            <w:r>
              <w:rPr>
                <w:rFonts w:hint="eastAsia"/>
                <w:bCs/>
                <w:color w:val="000000" w:themeColor="text1"/>
                <w:sz w:val="21"/>
                <w:szCs w:val="21"/>
                <w:shd w:val="clear" w:color="auto" w:fill="auto"/>
                <w:lang w:val="en-US" w:eastAsia="zh-CN"/>
                <w14:textFill>
                  <w14:solidFill>
                    <w14:schemeClr w14:val="tx1"/>
                  </w14:solidFill>
                </w14:textFill>
              </w:rPr>
              <w:t xml:space="preserve"> </w:t>
            </w:r>
          </w:p>
        </w:tc>
        <w:tc>
          <w:tcPr>
            <w:tcW w:w="780" w:type="dxa"/>
            <w:vAlign w:val="center"/>
          </w:tcPr>
          <w:p w14:paraId="7A74A807">
            <w:pPr>
              <w:pStyle w:val="42"/>
              <w:spacing w:before="65" w:line="228" w:lineRule="auto"/>
              <w:jc w:val="center"/>
              <w:rPr>
                <w:rFonts w:hint="eastAsia" w:ascii="宋体" w:hAnsi="宋体" w:eastAsia="宋体" w:cs="宋体"/>
                <w:sz w:val="21"/>
                <w:szCs w:val="21"/>
              </w:rPr>
            </w:pPr>
            <w:r>
              <w:rPr>
                <w:rFonts w:hint="eastAsia" w:ascii="宋体" w:hAnsi="宋体" w:eastAsia="宋体" w:cs="宋体"/>
                <w:spacing w:val="3"/>
                <w:sz w:val="21"/>
                <w:szCs w:val="21"/>
              </w:rPr>
              <w:t>符合</w:t>
            </w:r>
          </w:p>
        </w:tc>
      </w:tr>
      <w:tr w14:paraId="386C3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685" w:type="dxa"/>
            <w:tcBorders>
              <w:right w:val="single" w:color="000000" w:sz="2" w:space="0"/>
            </w:tcBorders>
            <w:vAlign w:val="center"/>
          </w:tcPr>
          <w:p w14:paraId="64265A4F">
            <w:pPr>
              <w:spacing w:before="57" w:line="195" w:lineRule="auto"/>
              <w:jc w:val="center"/>
              <w:rPr>
                <w:rFonts w:hint="eastAsia" w:ascii="宋体" w:hAnsi="宋体" w:eastAsia="宋体" w:cs="宋体"/>
                <w:sz w:val="21"/>
                <w:szCs w:val="21"/>
              </w:rPr>
            </w:pPr>
            <w:r>
              <w:rPr>
                <w:rFonts w:hint="eastAsia" w:ascii="宋体" w:hAnsi="宋体" w:eastAsia="宋体" w:cs="宋体"/>
                <w:spacing w:val="-8"/>
                <w:sz w:val="21"/>
                <w:szCs w:val="21"/>
              </w:rPr>
              <w:t>12</w:t>
            </w:r>
          </w:p>
        </w:tc>
        <w:tc>
          <w:tcPr>
            <w:tcW w:w="2886" w:type="dxa"/>
            <w:tcBorders>
              <w:left w:val="single" w:color="000000" w:sz="2" w:space="0"/>
            </w:tcBorders>
            <w:vAlign w:val="center"/>
          </w:tcPr>
          <w:p w14:paraId="030ED0B5">
            <w:pPr>
              <w:pStyle w:val="42"/>
              <w:spacing w:before="172" w:line="228" w:lineRule="auto"/>
              <w:ind w:left="184"/>
              <w:jc w:val="center"/>
              <w:rPr>
                <w:rFonts w:hint="eastAsia" w:ascii="宋体" w:hAnsi="宋体" w:eastAsia="宋体" w:cs="宋体"/>
                <w:sz w:val="21"/>
                <w:szCs w:val="21"/>
              </w:rPr>
            </w:pPr>
            <w:r>
              <w:rPr>
                <w:rFonts w:hint="eastAsia" w:ascii="宋体" w:hAnsi="宋体" w:eastAsia="宋体" w:cs="宋体"/>
                <w:spacing w:val="9"/>
                <w:sz w:val="21"/>
                <w:szCs w:val="21"/>
              </w:rPr>
              <w:t>加油站站内设施的防火间距</w:t>
            </w:r>
          </w:p>
          <w:p w14:paraId="756DF279">
            <w:pPr>
              <w:pStyle w:val="42"/>
              <w:spacing w:before="24" w:line="235" w:lineRule="auto"/>
              <w:ind w:left="991" w:right="307" w:hanging="682"/>
              <w:jc w:val="both"/>
              <w:rPr>
                <w:rFonts w:hint="eastAsia" w:ascii="宋体" w:hAnsi="宋体" w:eastAsia="宋体" w:cs="宋体"/>
                <w:sz w:val="21"/>
                <w:szCs w:val="21"/>
              </w:rPr>
            </w:pPr>
            <w:r>
              <w:rPr>
                <w:rFonts w:hint="eastAsia" w:ascii="宋体" w:hAnsi="宋体" w:eastAsia="宋体" w:cs="宋体"/>
                <w:spacing w:val="3"/>
                <w:sz w:val="21"/>
                <w:szCs w:val="21"/>
              </w:rPr>
              <w:t>不应小于表5.0.13-1和表</w:t>
            </w:r>
            <w:r>
              <w:rPr>
                <w:rFonts w:hint="eastAsia" w:ascii="宋体" w:hAnsi="宋体" w:eastAsia="宋体" w:cs="宋体"/>
                <w:spacing w:val="2"/>
                <w:sz w:val="21"/>
                <w:szCs w:val="21"/>
              </w:rPr>
              <w:t>5.0.13-2。</w:t>
            </w:r>
          </w:p>
        </w:tc>
        <w:tc>
          <w:tcPr>
            <w:tcW w:w="2636" w:type="dxa"/>
            <w:vAlign w:val="center"/>
          </w:tcPr>
          <w:p w14:paraId="3B3F2F79">
            <w:pPr>
              <w:pStyle w:val="42"/>
              <w:spacing w:before="36"/>
              <w:ind w:left="694" w:right="164" w:hanging="521"/>
              <w:jc w:val="center"/>
              <w:rPr>
                <w:rFonts w:hint="eastAsia" w:ascii="宋体" w:hAnsi="宋体" w:eastAsia="宋体" w:cs="宋体"/>
                <w:sz w:val="21"/>
                <w:szCs w:val="21"/>
              </w:rPr>
            </w:pPr>
            <w:r>
              <w:rPr>
                <w:rFonts w:hint="eastAsia" w:ascii="宋体" w:hAnsi="宋体" w:eastAsia="宋体" w:cs="宋体"/>
                <w:spacing w:val="8"/>
                <w:sz w:val="21"/>
                <w:szCs w:val="21"/>
              </w:rPr>
              <w:t>《汽车加油加气加氢站</w:t>
            </w:r>
            <w:r>
              <w:rPr>
                <w:rFonts w:hint="eastAsia" w:ascii="宋体" w:hAnsi="宋体" w:eastAsia="宋体" w:cs="宋体"/>
                <w:spacing w:val="5"/>
                <w:sz w:val="21"/>
                <w:szCs w:val="21"/>
              </w:rPr>
              <w:t>技术标准》</w:t>
            </w:r>
          </w:p>
          <w:p w14:paraId="74FF1294">
            <w:pPr>
              <w:pStyle w:val="42"/>
              <w:spacing w:before="24" w:line="235" w:lineRule="auto"/>
              <w:ind w:left="827" w:right="246" w:hanging="567"/>
              <w:jc w:val="center"/>
              <w:rPr>
                <w:rFonts w:hint="eastAsia" w:ascii="宋体" w:hAnsi="宋体" w:eastAsia="宋体" w:cs="宋体"/>
                <w:spacing w:val="5"/>
                <w:sz w:val="21"/>
                <w:szCs w:val="21"/>
              </w:rPr>
            </w:pPr>
            <w:r>
              <w:rPr>
                <w:rFonts w:hint="eastAsia" w:ascii="宋体" w:hAnsi="宋体" w:eastAsia="宋体" w:cs="宋体"/>
                <w:spacing w:val="5"/>
                <w:sz w:val="21"/>
                <w:szCs w:val="21"/>
              </w:rPr>
              <w:t>（</w:t>
            </w:r>
            <w:r>
              <w:rPr>
                <w:rFonts w:hint="eastAsia" w:ascii="宋体" w:hAnsi="宋体" w:eastAsia="宋体" w:cs="宋体"/>
                <w:sz w:val="21"/>
                <w:szCs w:val="21"/>
              </w:rPr>
              <w:t>GB</w:t>
            </w:r>
            <w:r>
              <w:rPr>
                <w:rFonts w:hint="eastAsia" w:ascii="宋体" w:hAnsi="宋体" w:eastAsia="宋体" w:cs="宋体"/>
                <w:spacing w:val="5"/>
                <w:sz w:val="21"/>
                <w:szCs w:val="21"/>
              </w:rPr>
              <w:t>50156-2021）</w:t>
            </w:r>
          </w:p>
          <w:p w14:paraId="44B2E609">
            <w:pPr>
              <w:pStyle w:val="42"/>
              <w:spacing w:before="24" w:line="235" w:lineRule="auto"/>
              <w:ind w:left="827" w:right="246" w:hanging="567"/>
              <w:jc w:val="center"/>
              <w:rPr>
                <w:rFonts w:hint="eastAsia" w:ascii="宋体" w:hAnsi="宋体" w:eastAsia="宋体" w:cs="宋体"/>
                <w:sz w:val="21"/>
                <w:szCs w:val="21"/>
              </w:rPr>
            </w:pPr>
            <w:r>
              <w:rPr>
                <w:rFonts w:hint="eastAsia" w:ascii="宋体" w:hAnsi="宋体" w:eastAsia="宋体" w:cs="宋体"/>
                <w:spacing w:val="5"/>
                <w:sz w:val="21"/>
                <w:szCs w:val="21"/>
              </w:rPr>
              <w:t>第</w:t>
            </w:r>
            <w:r>
              <w:rPr>
                <w:rFonts w:hint="eastAsia" w:ascii="宋体" w:hAnsi="宋体" w:eastAsia="宋体" w:cs="宋体"/>
                <w:spacing w:val="-2"/>
                <w:sz w:val="21"/>
                <w:szCs w:val="21"/>
              </w:rPr>
              <w:t>5.0.13条</w:t>
            </w:r>
          </w:p>
        </w:tc>
        <w:tc>
          <w:tcPr>
            <w:tcW w:w="2417" w:type="dxa"/>
            <w:vAlign w:val="center"/>
          </w:tcPr>
          <w:p w14:paraId="50FDA88C">
            <w:pPr>
              <w:pStyle w:val="42"/>
              <w:spacing w:before="65" w:line="239" w:lineRule="auto"/>
              <w:ind w:right="149"/>
              <w:jc w:val="center"/>
              <w:rPr>
                <w:rFonts w:hint="eastAsia" w:ascii="宋体" w:hAnsi="宋体" w:eastAsia="宋体" w:cs="宋体"/>
                <w:sz w:val="21"/>
                <w:szCs w:val="21"/>
              </w:rPr>
            </w:pPr>
            <w:r>
              <w:rPr>
                <w:rFonts w:hint="eastAsia" w:ascii="宋体" w:hAnsi="宋体" w:eastAsia="宋体" w:cs="宋体"/>
                <w:spacing w:val="9"/>
                <w:sz w:val="21"/>
                <w:szCs w:val="21"/>
              </w:rPr>
              <w:t>加油站站内设施的防火间</w:t>
            </w:r>
            <w:r>
              <w:rPr>
                <w:rFonts w:hint="eastAsia" w:ascii="宋体" w:hAnsi="宋体" w:eastAsia="宋体" w:cs="宋体"/>
                <w:spacing w:val="7"/>
                <w:sz w:val="21"/>
                <w:szCs w:val="21"/>
              </w:rPr>
              <w:t>距符合规范要求。</w:t>
            </w:r>
          </w:p>
        </w:tc>
        <w:tc>
          <w:tcPr>
            <w:tcW w:w="780" w:type="dxa"/>
            <w:vAlign w:val="center"/>
          </w:tcPr>
          <w:p w14:paraId="1E2414BD">
            <w:pPr>
              <w:pStyle w:val="42"/>
              <w:spacing w:before="65" w:line="228" w:lineRule="auto"/>
              <w:jc w:val="center"/>
              <w:rPr>
                <w:rFonts w:hint="eastAsia" w:ascii="宋体" w:hAnsi="宋体" w:eastAsia="宋体" w:cs="宋体"/>
                <w:sz w:val="21"/>
                <w:szCs w:val="21"/>
              </w:rPr>
            </w:pPr>
            <w:r>
              <w:rPr>
                <w:rFonts w:hint="eastAsia" w:ascii="宋体" w:hAnsi="宋体" w:eastAsia="宋体" w:cs="宋体"/>
                <w:spacing w:val="3"/>
                <w:sz w:val="21"/>
                <w:szCs w:val="21"/>
              </w:rPr>
              <w:t>符合</w:t>
            </w:r>
          </w:p>
        </w:tc>
      </w:tr>
    </w:tbl>
    <w:p w14:paraId="1042D005">
      <w:pPr>
        <w:keepNext w:val="0"/>
        <w:keepLines w:val="0"/>
        <w:pageBreakBefore w:val="0"/>
        <w:widowControl w:val="0"/>
        <w:tabs>
          <w:tab w:val="left" w:pos="1006"/>
        </w:tabs>
        <w:kinsoku/>
        <w:wordWrap/>
        <w:overflowPunct/>
        <w:topLinePunct w:val="0"/>
        <w:autoSpaceDE/>
        <w:autoSpaceDN/>
        <w:bidi w:val="0"/>
        <w:adjustRightInd/>
        <w:snapToGrid/>
        <w:spacing w:line="600" w:lineRule="exact"/>
        <w:ind w:firstLine="560" w:firstLineChars="200"/>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通过检查，该加油站站内设施之间的防火距离，均符合《汽车加油加气加氢站技术标准》（GB50156-2021）的相关要求。</w:t>
      </w:r>
    </w:p>
    <w:p w14:paraId="533827A0">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35" w:name="_Toc2083"/>
      <w:bookmarkStart w:id="436" w:name="_Toc24472"/>
      <w:bookmarkStart w:id="437" w:name="_Toc25830"/>
      <w:bookmarkStart w:id="438" w:name="_Toc17501"/>
      <w:r>
        <w:rPr>
          <w:rFonts w:hint="eastAsia" w:ascii="宋体" w:hAnsi="宋体" w:eastAsia="宋体" w:cs="宋体"/>
          <w:b/>
          <w:color w:val="000000" w:themeColor="text1"/>
          <w:sz w:val="30"/>
          <w:szCs w:val="30"/>
          <w:lang w:val="en-US" w:eastAsia="zh-CN"/>
          <w14:textFill>
            <w14:solidFill>
              <w14:schemeClr w14:val="tx1"/>
            </w14:solidFill>
          </w14:textFill>
        </w:rPr>
        <w:t>7.1.3自然环境条件的分析评价</w:t>
      </w:r>
      <w:bookmarkEnd w:id="435"/>
      <w:bookmarkEnd w:id="436"/>
      <w:bookmarkEnd w:id="437"/>
      <w:bookmarkEnd w:id="438"/>
    </w:p>
    <w:p w14:paraId="7CD5D01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本报告3.2，对本项目的站址及自然环境条件进行了危险有害因素辨识与分析，表明站址及自然环境条件对该项目的风险影响不大，在可以接受范围。</w:t>
      </w:r>
    </w:p>
    <w:p w14:paraId="1FE68AA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1.加油站自运行以来，未发现坍塌、塌陷、开裂等不良情况，表明站址场地稳定。</w:t>
      </w:r>
    </w:p>
    <w:p w14:paraId="6B22E07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2.站址周边无水库、湖泊，无重要、一类、二类保护建筑物等，站内汽油罐、柴油罐、通气管、加油机等设施与周边建构筑物的距离满足规范要求。</w:t>
      </w:r>
    </w:p>
    <w:p w14:paraId="03E1EF3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站址所处区域气候相对温和，自建站以来，未因暴雨、大风、雷暴、极端高温、极端低温等不良气候，导致加油站出现洪水、坍塌、中暑、雷击等的危害；加油站防渗油罐改造后，罐池内油罐做了防雷防静电连接，加油站的建构筑物、设施经防雷检测合格，表明加油站的设备、设施能满足不良</w:t>
      </w:r>
    </w:p>
    <w:p w14:paraId="53D4EA73">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气候条件的安全经营条件。</w:t>
      </w:r>
    </w:p>
    <w:p w14:paraId="74F8F9AF">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39" w:name="_Toc7380"/>
      <w:bookmarkStart w:id="440" w:name="_Toc20250"/>
      <w:bookmarkStart w:id="441" w:name="_Toc29690"/>
      <w:bookmarkStart w:id="442" w:name="_Toc19309"/>
      <w:r>
        <w:rPr>
          <w:rFonts w:hint="eastAsia" w:ascii="宋体" w:hAnsi="宋体" w:eastAsia="宋体" w:cs="宋体"/>
          <w:b/>
          <w:color w:val="000000" w:themeColor="text1"/>
          <w:sz w:val="30"/>
          <w:szCs w:val="30"/>
          <w:lang w:val="en-US" w:eastAsia="zh-CN"/>
          <w14:textFill>
            <w14:solidFill>
              <w14:schemeClr w14:val="tx1"/>
            </w14:solidFill>
          </w14:textFill>
        </w:rPr>
        <w:t>7.1.4爆炸危险区域分析评价</w:t>
      </w:r>
      <w:bookmarkEnd w:id="439"/>
      <w:bookmarkEnd w:id="440"/>
      <w:bookmarkEnd w:id="441"/>
      <w:bookmarkEnd w:id="442"/>
    </w:p>
    <w:p w14:paraId="3DA78B8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经防渗罐池改造后，设置汽油卸油和加油油气回收装置，根据《汽车加油加气加氢站技术标准》（GB50156-2021）附录C和本报告“3.7加油站防爆区域划分”辨识，油罐操作井、卸油井和加油机区域属于爆炸危险区域。具体分析如下：</w:t>
      </w:r>
    </w:p>
    <w:p w14:paraId="2378449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（1）该加油站爆炸危险区域内的电气设备主要是油罐操作井内的潜油泵、加油机内的油气回收压缩泵、油品计量装置。潜油泵等电器设备均属于专用合格设备，符合防爆区域内电力设备的防爆等级要求。</w:t>
      </w:r>
    </w:p>
    <w:p w14:paraId="6D54D5D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（2）油罐操作井、卸油井、加油机内的输油管道的连接处，均用铜片做了静电跨接，并做了等电位接地连接处理。</w:t>
      </w:r>
    </w:p>
    <w:p w14:paraId="55AF946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（3）卸油区、油罐区配备了静电接地报警仪，设置了人体静电释放桩，静电接地桩等设置在爆炸危险区域外，符合规范要求。</w:t>
      </w:r>
    </w:p>
    <w:p w14:paraId="3BA66F8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（4）加油的罩棚、站房均安装设置了防雷设施，并经检测，防直接雷措施合格。</w:t>
      </w:r>
    </w:p>
    <w:p w14:paraId="1DDDAB5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通过上述分析，该加油站爆炸危险区域未超出站址界限范围，防爆区域</w:t>
      </w:r>
    </w:p>
    <w:p w14:paraId="046CEA1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内的电力设施符合规范要求。</w:t>
      </w:r>
    </w:p>
    <w:p w14:paraId="5B94F07C">
      <w:pPr>
        <w:keepNext w:val="0"/>
        <w:keepLines w:val="0"/>
        <w:pageBreakBefore w:val="0"/>
        <w:widowControl w:val="0"/>
        <w:kinsoku/>
        <w:wordWrap/>
        <w:overflowPunct/>
        <w:topLinePunct w:val="0"/>
        <w:autoSpaceDE/>
        <w:autoSpaceDN/>
        <w:bidi w:val="0"/>
        <w:adjustRightInd w:val="0"/>
        <w:snapToGrid w:val="0"/>
        <w:spacing w:line="600" w:lineRule="exact"/>
        <w:textAlignment w:val="auto"/>
        <w:outlineLvl w:val="2"/>
        <w:rPr>
          <w:rFonts w:hint="eastAsia" w:ascii="宋体" w:hAnsi="宋体" w:eastAsia="宋体" w:cs="宋体"/>
          <w:b/>
          <w:color w:val="000000" w:themeColor="text1"/>
          <w:sz w:val="30"/>
          <w:szCs w:val="30"/>
          <w:lang w:val="en-US" w:eastAsia="zh-CN"/>
          <w14:textFill>
            <w14:solidFill>
              <w14:schemeClr w14:val="tx1"/>
            </w14:solidFill>
          </w14:textFill>
        </w:rPr>
      </w:pPr>
      <w:bookmarkStart w:id="443" w:name="_Toc10713"/>
      <w:bookmarkStart w:id="444" w:name="_Toc20143"/>
      <w:bookmarkStart w:id="445" w:name="_Toc10115"/>
      <w:r>
        <w:rPr>
          <w:rFonts w:hint="eastAsia" w:ascii="宋体" w:hAnsi="宋体" w:eastAsia="宋体" w:cs="宋体"/>
          <w:b/>
          <w:color w:val="000000" w:themeColor="text1"/>
          <w:sz w:val="30"/>
          <w:szCs w:val="30"/>
          <w:lang w:val="en-US" w:eastAsia="zh-CN"/>
          <w14:textFill>
            <w14:solidFill>
              <w14:schemeClr w14:val="tx1"/>
            </w14:solidFill>
          </w14:textFill>
        </w:rPr>
        <w:t>7.1.5单元小节</w:t>
      </w:r>
      <w:bookmarkEnd w:id="443"/>
      <w:bookmarkEnd w:id="444"/>
      <w:bookmarkEnd w:id="445"/>
    </w:p>
    <w:p w14:paraId="2DB1B98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通过分析评价：该加油站站址、站内平面布置符合《汽车加油加气加氢</w:t>
      </w:r>
    </w:p>
    <w:p w14:paraId="70EBC89C">
      <w:pPr>
        <w:keepNext w:val="0"/>
        <w:keepLines w:val="0"/>
        <w:pageBreakBefore w:val="0"/>
        <w:widowControl w:val="0"/>
        <w:tabs>
          <w:tab w:val="left" w:pos="1006"/>
        </w:tabs>
        <w:kinsoku/>
        <w:wordWrap/>
        <w:overflowPunct/>
        <w:topLinePunct w:val="0"/>
        <w:autoSpaceDE/>
        <w:autoSpaceDN/>
        <w:bidi w:val="0"/>
        <w:adjustRightInd/>
        <w:snapToGrid/>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站技术标准》（GB50156-2021）的相关要求。</w:t>
      </w:r>
    </w:p>
    <w:p w14:paraId="1CFF14B3">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446" w:name="_Toc25356"/>
      <w:bookmarkStart w:id="447" w:name="_Toc11645"/>
      <w:bookmarkStart w:id="448" w:name="_Toc20043"/>
      <w:bookmarkStart w:id="449" w:name="_Toc30663"/>
      <w:r>
        <w:rPr>
          <w:rFonts w:hint="eastAsia" w:ascii="宋体" w:hAnsi="宋体" w:eastAsia="宋体" w:cs="宋体"/>
          <w:b/>
          <w:smallCaps/>
          <w:color w:val="auto"/>
          <w:kern w:val="0"/>
          <w:szCs w:val="20"/>
          <w:lang w:val="en-US" w:eastAsia="zh-CN"/>
        </w:rPr>
        <w:t>7.2工艺及设施单元</w:t>
      </w:r>
      <w:bookmarkEnd w:id="446"/>
      <w:bookmarkEnd w:id="447"/>
      <w:bookmarkEnd w:id="448"/>
      <w:bookmarkEnd w:id="449"/>
    </w:p>
    <w:p w14:paraId="38581B75">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50" w:name="_Toc29028"/>
      <w:bookmarkStart w:id="451" w:name="_Toc9432"/>
      <w:bookmarkStart w:id="452" w:name="_Toc1199"/>
      <w:bookmarkStart w:id="453" w:name="_Toc12123"/>
      <w:r>
        <w:rPr>
          <w:rFonts w:hint="eastAsia" w:ascii="宋体" w:hAnsi="宋体" w:eastAsia="宋体" w:cs="宋体"/>
          <w:b/>
          <w:color w:val="000000" w:themeColor="text1"/>
          <w:sz w:val="30"/>
          <w:szCs w:val="30"/>
          <w:lang w:val="en-US" w:eastAsia="zh-CN"/>
          <w14:textFill>
            <w14:solidFill>
              <w14:schemeClr w14:val="tx1"/>
            </w14:solidFill>
          </w14:textFill>
        </w:rPr>
        <w:t>7.2.1工艺及设施安全检查评价</w:t>
      </w:r>
      <w:bookmarkEnd w:id="450"/>
      <w:bookmarkEnd w:id="451"/>
      <w:bookmarkEnd w:id="452"/>
      <w:bookmarkEnd w:id="453"/>
    </w:p>
    <w:p w14:paraId="1E921F7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根据《汽车加油加气加氢站技术标准》（GB50156-2021）等标准的相关</w:t>
      </w:r>
    </w:p>
    <w:p w14:paraId="30EA5DE9">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规定，编制工艺及设施安全检查表，具体评价过程见表7-3。</w:t>
      </w:r>
    </w:p>
    <w:p w14:paraId="2CFEA924">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表7-3工艺及设施安全检查表</w:t>
      </w:r>
    </w:p>
    <w:tbl>
      <w:tblPr>
        <w:tblStyle w:val="41"/>
        <w:tblW w:w="94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3315"/>
        <w:gridCol w:w="2734"/>
        <w:gridCol w:w="2045"/>
        <w:gridCol w:w="821"/>
      </w:tblGrid>
      <w:tr w14:paraId="2C920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89" w:type="dxa"/>
            <w:vAlign w:val="center"/>
          </w:tcPr>
          <w:p w14:paraId="77E7138E">
            <w:pPr>
              <w:bidi w:val="0"/>
              <w:jc w:val="center"/>
              <w:rPr>
                <w:rFonts w:hint="eastAsia" w:ascii="宋体" w:hAnsi="宋体" w:eastAsia="宋体" w:cs="宋体"/>
              </w:rPr>
            </w:pPr>
            <w:r>
              <w:rPr>
                <w:rFonts w:hint="eastAsia" w:ascii="宋体" w:hAnsi="宋体" w:eastAsia="宋体" w:cs="宋体"/>
              </w:rPr>
              <w:t>序号</w:t>
            </w:r>
          </w:p>
        </w:tc>
        <w:tc>
          <w:tcPr>
            <w:tcW w:w="3315" w:type="dxa"/>
            <w:vAlign w:val="center"/>
          </w:tcPr>
          <w:p w14:paraId="2EFA8B9A">
            <w:pPr>
              <w:bidi w:val="0"/>
              <w:jc w:val="center"/>
              <w:rPr>
                <w:rFonts w:hint="eastAsia" w:ascii="宋体" w:hAnsi="宋体" w:eastAsia="宋体" w:cs="宋体"/>
              </w:rPr>
            </w:pPr>
            <w:r>
              <w:rPr>
                <w:rFonts w:hint="eastAsia" w:ascii="宋体" w:hAnsi="宋体" w:eastAsia="宋体" w:cs="宋体"/>
              </w:rPr>
              <w:t>检查内容</w:t>
            </w:r>
          </w:p>
        </w:tc>
        <w:tc>
          <w:tcPr>
            <w:tcW w:w="2734" w:type="dxa"/>
            <w:vAlign w:val="center"/>
          </w:tcPr>
          <w:p w14:paraId="61EAD7E3">
            <w:pPr>
              <w:bidi w:val="0"/>
              <w:jc w:val="center"/>
              <w:rPr>
                <w:rFonts w:hint="eastAsia" w:ascii="宋体" w:hAnsi="宋体" w:eastAsia="宋体" w:cs="宋体"/>
              </w:rPr>
            </w:pPr>
            <w:r>
              <w:rPr>
                <w:rFonts w:hint="eastAsia" w:ascii="宋体" w:hAnsi="宋体" w:eastAsia="宋体" w:cs="宋体"/>
              </w:rPr>
              <w:t>检查标准</w:t>
            </w:r>
          </w:p>
        </w:tc>
        <w:tc>
          <w:tcPr>
            <w:tcW w:w="2045" w:type="dxa"/>
            <w:vAlign w:val="center"/>
          </w:tcPr>
          <w:p w14:paraId="3F1CC045">
            <w:pPr>
              <w:bidi w:val="0"/>
              <w:jc w:val="center"/>
              <w:rPr>
                <w:rFonts w:hint="eastAsia" w:ascii="宋体" w:hAnsi="宋体" w:eastAsia="宋体" w:cs="宋体"/>
              </w:rPr>
            </w:pPr>
            <w:r>
              <w:rPr>
                <w:rFonts w:hint="eastAsia" w:ascii="宋体" w:hAnsi="宋体" w:eastAsia="宋体" w:cs="宋体"/>
              </w:rPr>
              <w:t>检查记录</w:t>
            </w:r>
          </w:p>
        </w:tc>
        <w:tc>
          <w:tcPr>
            <w:tcW w:w="821" w:type="dxa"/>
            <w:vAlign w:val="center"/>
          </w:tcPr>
          <w:p w14:paraId="61D3C96B">
            <w:pPr>
              <w:bidi w:val="0"/>
              <w:jc w:val="center"/>
              <w:rPr>
                <w:rFonts w:hint="eastAsia" w:ascii="宋体" w:hAnsi="宋体" w:eastAsia="宋体" w:cs="宋体"/>
              </w:rPr>
            </w:pPr>
            <w:r>
              <w:rPr>
                <w:rFonts w:hint="eastAsia" w:ascii="宋体" w:hAnsi="宋体" w:eastAsia="宋体" w:cs="宋体"/>
              </w:rPr>
              <w:t>检查</w:t>
            </w:r>
          </w:p>
          <w:p w14:paraId="22221A9B">
            <w:pPr>
              <w:bidi w:val="0"/>
              <w:jc w:val="center"/>
              <w:rPr>
                <w:rFonts w:hint="eastAsia" w:ascii="宋体" w:hAnsi="宋体" w:eastAsia="宋体" w:cs="宋体"/>
              </w:rPr>
            </w:pPr>
            <w:r>
              <w:rPr>
                <w:rFonts w:hint="eastAsia" w:ascii="宋体" w:hAnsi="宋体" w:eastAsia="宋体" w:cs="宋体"/>
              </w:rPr>
              <w:t>结果</w:t>
            </w:r>
          </w:p>
        </w:tc>
      </w:tr>
      <w:tr w14:paraId="71F1E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404" w:type="dxa"/>
            <w:gridSpan w:val="5"/>
            <w:vAlign w:val="center"/>
          </w:tcPr>
          <w:p w14:paraId="202E99C7">
            <w:pPr>
              <w:bidi w:val="0"/>
              <w:jc w:val="center"/>
              <w:rPr>
                <w:rFonts w:hint="eastAsia" w:ascii="宋体" w:hAnsi="宋体" w:eastAsia="宋体" w:cs="宋体"/>
              </w:rPr>
            </w:pPr>
            <w:r>
              <w:rPr>
                <w:rFonts w:hint="eastAsia" w:ascii="宋体" w:hAnsi="宋体" w:eastAsia="宋体" w:cs="宋体"/>
                <w:b/>
                <w:bCs/>
              </w:rPr>
              <w:t>油罐</w:t>
            </w:r>
          </w:p>
        </w:tc>
      </w:tr>
      <w:tr w14:paraId="2825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22902518">
            <w:pPr>
              <w:bidi w:val="0"/>
              <w:jc w:val="center"/>
              <w:rPr>
                <w:rFonts w:hint="eastAsia" w:ascii="宋体" w:hAnsi="宋体" w:eastAsia="宋体" w:cs="宋体"/>
              </w:rPr>
            </w:pPr>
          </w:p>
          <w:p w14:paraId="458EC859">
            <w:pPr>
              <w:bidi w:val="0"/>
              <w:jc w:val="center"/>
              <w:rPr>
                <w:rFonts w:hint="eastAsia" w:ascii="宋体" w:hAnsi="宋体" w:eastAsia="宋体" w:cs="宋体"/>
              </w:rPr>
            </w:pPr>
            <w:r>
              <w:rPr>
                <w:rFonts w:hint="eastAsia" w:ascii="宋体" w:hAnsi="宋体" w:eastAsia="宋体" w:cs="宋体"/>
              </w:rPr>
              <w:t>1</w:t>
            </w:r>
          </w:p>
        </w:tc>
        <w:tc>
          <w:tcPr>
            <w:tcW w:w="3315" w:type="dxa"/>
            <w:vAlign w:val="center"/>
          </w:tcPr>
          <w:p w14:paraId="79059F2E">
            <w:pPr>
              <w:bidi w:val="0"/>
              <w:jc w:val="left"/>
              <w:rPr>
                <w:rFonts w:hint="eastAsia" w:ascii="宋体" w:hAnsi="宋体" w:eastAsia="宋体" w:cs="宋体"/>
              </w:rPr>
            </w:pPr>
            <w:r>
              <w:rPr>
                <w:rFonts w:hint="eastAsia" w:ascii="宋体" w:hAnsi="宋体" w:eastAsia="宋体" w:cs="宋体"/>
              </w:rPr>
              <w:t>加油站的汽油罐和柴油罐应埋地设置，严禁设在室内或地下室内。</w:t>
            </w:r>
          </w:p>
        </w:tc>
        <w:tc>
          <w:tcPr>
            <w:tcW w:w="2734" w:type="dxa"/>
            <w:vAlign w:val="center"/>
          </w:tcPr>
          <w:p w14:paraId="052F70D5">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659F7EF5">
            <w:pPr>
              <w:bidi w:val="0"/>
              <w:jc w:val="center"/>
              <w:rPr>
                <w:rFonts w:hint="eastAsia" w:ascii="宋体" w:hAnsi="宋体" w:eastAsia="宋体" w:cs="宋体"/>
              </w:rPr>
            </w:pPr>
            <w:r>
              <w:rPr>
                <w:rFonts w:hint="eastAsia" w:ascii="宋体" w:hAnsi="宋体" w:eastAsia="宋体" w:cs="宋体"/>
              </w:rPr>
              <w:t>第6.1.1条</w:t>
            </w:r>
          </w:p>
        </w:tc>
        <w:tc>
          <w:tcPr>
            <w:tcW w:w="2045" w:type="dxa"/>
            <w:vAlign w:val="center"/>
          </w:tcPr>
          <w:p w14:paraId="5E072A55">
            <w:pPr>
              <w:bidi w:val="0"/>
              <w:jc w:val="center"/>
              <w:rPr>
                <w:rFonts w:hint="eastAsia" w:ascii="宋体" w:hAnsi="宋体" w:eastAsia="宋体" w:cs="宋体"/>
              </w:rPr>
            </w:pPr>
            <w:r>
              <w:rPr>
                <w:rFonts w:hint="eastAsia" w:ascii="宋体" w:hAnsi="宋体" w:eastAsia="宋体" w:cs="宋体"/>
              </w:rPr>
              <w:t>油罐均为埋地油罐</w:t>
            </w:r>
          </w:p>
        </w:tc>
        <w:tc>
          <w:tcPr>
            <w:tcW w:w="821" w:type="dxa"/>
            <w:vAlign w:val="center"/>
          </w:tcPr>
          <w:p w14:paraId="2D4A871E">
            <w:pPr>
              <w:bidi w:val="0"/>
              <w:jc w:val="center"/>
              <w:rPr>
                <w:rFonts w:hint="eastAsia" w:ascii="宋体" w:hAnsi="宋体" w:eastAsia="宋体" w:cs="宋体"/>
              </w:rPr>
            </w:pPr>
            <w:r>
              <w:rPr>
                <w:rFonts w:hint="eastAsia" w:ascii="宋体" w:hAnsi="宋体" w:eastAsia="宋体" w:cs="宋体"/>
              </w:rPr>
              <w:t>符合</w:t>
            </w:r>
          </w:p>
        </w:tc>
      </w:tr>
      <w:tr w14:paraId="5E05C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3459D977">
            <w:pPr>
              <w:bidi w:val="0"/>
              <w:jc w:val="center"/>
              <w:rPr>
                <w:rFonts w:hint="eastAsia" w:ascii="宋体" w:hAnsi="宋体" w:eastAsia="宋体" w:cs="宋体"/>
              </w:rPr>
            </w:pPr>
          </w:p>
          <w:p w14:paraId="13CB02AB">
            <w:pPr>
              <w:bidi w:val="0"/>
              <w:jc w:val="center"/>
              <w:rPr>
                <w:rFonts w:hint="eastAsia" w:ascii="宋体" w:hAnsi="宋体" w:eastAsia="宋体" w:cs="宋体"/>
              </w:rPr>
            </w:pPr>
            <w:r>
              <w:rPr>
                <w:rFonts w:hint="eastAsia" w:ascii="宋体" w:hAnsi="宋体" w:eastAsia="宋体" w:cs="宋体"/>
              </w:rPr>
              <w:t>2</w:t>
            </w:r>
          </w:p>
        </w:tc>
        <w:tc>
          <w:tcPr>
            <w:tcW w:w="3315" w:type="dxa"/>
            <w:vAlign w:val="center"/>
          </w:tcPr>
          <w:p w14:paraId="68AB7966">
            <w:pPr>
              <w:bidi w:val="0"/>
              <w:jc w:val="left"/>
              <w:rPr>
                <w:rFonts w:hint="eastAsia" w:ascii="宋体" w:hAnsi="宋体" w:eastAsia="宋体" w:cs="宋体"/>
              </w:rPr>
            </w:pPr>
            <w:r>
              <w:rPr>
                <w:rFonts w:hint="eastAsia" w:ascii="宋体" w:hAnsi="宋体" w:eastAsia="宋体" w:cs="宋体"/>
              </w:rPr>
              <w:t>汽车加油站的储油罐应采用卧式油罐。</w:t>
            </w:r>
          </w:p>
        </w:tc>
        <w:tc>
          <w:tcPr>
            <w:tcW w:w="2734" w:type="dxa"/>
            <w:vAlign w:val="center"/>
          </w:tcPr>
          <w:p w14:paraId="6AA2AF1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3246D5FB">
            <w:pPr>
              <w:bidi w:val="0"/>
              <w:jc w:val="center"/>
              <w:rPr>
                <w:rFonts w:hint="eastAsia" w:ascii="宋体" w:hAnsi="宋体" w:eastAsia="宋体" w:cs="宋体"/>
              </w:rPr>
            </w:pPr>
            <w:r>
              <w:rPr>
                <w:rFonts w:hint="eastAsia" w:ascii="宋体" w:hAnsi="宋体" w:eastAsia="宋体" w:cs="宋体"/>
              </w:rPr>
              <w:t>第6.1.2条</w:t>
            </w:r>
          </w:p>
        </w:tc>
        <w:tc>
          <w:tcPr>
            <w:tcW w:w="2045" w:type="dxa"/>
            <w:vAlign w:val="center"/>
          </w:tcPr>
          <w:p w14:paraId="687EAEDB">
            <w:pPr>
              <w:bidi w:val="0"/>
              <w:jc w:val="center"/>
              <w:rPr>
                <w:rFonts w:hint="eastAsia" w:ascii="宋体" w:hAnsi="宋体" w:eastAsia="宋体" w:cs="宋体"/>
              </w:rPr>
            </w:pPr>
            <w:r>
              <w:rPr>
                <w:rFonts w:hint="eastAsia" w:ascii="宋体" w:hAnsi="宋体" w:eastAsia="宋体" w:cs="宋体"/>
              </w:rPr>
              <w:t>油罐均为卧式油罐</w:t>
            </w:r>
          </w:p>
        </w:tc>
        <w:tc>
          <w:tcPr>
            <w:tcW w:w="821" w:type="dxa"/>
            <w:vAlign w:val="center"/>
          </w:tcPr>
          <w:p w14:paraId="4148B5F6">
            <w:pPr>
              <w:bidi w:val="0"/>
              <w:jc w:val="center"/>
              <w:rPr>
                <w:rFonts w:hint="eastAsia" w:ascii="宋体" w:hAnsi="宋体" w:eastAsia="宋体" w:cs="宋体"/>
              </w:rPr>
            </w:pPr>
            <w:r>
              <w:rPr>
                <w:rFonts w:hint="eastAsia" w:ascii="宋体" w:hAnsi="宋体" w:eastAsia="宋体" w:cs="宋体"/>
              </w:rPr>
              <w:t>符合</w:t>
            </w:r>
          </w:p>
        </w:tc>
      </w:tr>
      <w:tr w14:paraId="45FE7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489" w:type="dxa"/>
            <w:vAlign w:val="center"/>
          </w:tcPr>
          <w:p w14:paraId="19B08795">
            <w:pPr>
              <w:bidi w:val="0"/>
              <w:jc w:val="center"/>
              <w:rPr>
                <w:rFonts w:hint="eastAsia" w:ascii="宋体" w:hAnsi="宋体" w:eastAsia="宋体" w:cs="宋体"/>
              </w:rPr>
            </w:pPr>
          </w:p>
          <w:p w14:paraId="308C5E7A">
            <w:pPr>
              <w:bidi w:val="0"/>
              <w:jc w:val="center"/>
              <w:rPr>
                <w:rFonts w:hint="eastAsia" w:ascii="宋体" w:hAnsi="宋体" w:eastAsia="宋体" w:cs="宋体"/>
              </w:rPr>
            </w:pPr>
          </w:p>
          <w:p w14:paraId="43E5443E">
            <w:pPr>
              <w:bidi w:val="0"/>
              <w:jc w:val="center"/>
              <w:rPr>
                <w:rFonts w:hint="eastAsia" w:ascii="宋体" w:hAnsi="宋体" w:eastAsia="宋体" w:cs="宋体"/>
              </w:rPr>
            </w:pPr>
          </w:p>
          <w:p w14:paraId="18C31CDA">
            <w:pPr>
              <w:bidi w:val="0"/>
              <w:jc w:val="center"/>
              <w:rPr>
                <w:rFonts w:hint="eastAsia" w:ascii="宋体" w:hAnsi="宋体" w:eastAsia="宋体" w:cs="宋体"/>
              </w:rPr>
            </w:pPr>
          </w:p>
          <w:p w14:paraId="1CCC480B">
            <w:pPr>
              <w:bidi w:val="0"/>
              <w:jc w:val="center"/>
              <w:rPr>
                <w:rFonts w:hint="eastAsia" w:ascii="宋体" w:hAnsi="宋体" w:eastAsia="宋体" w:cs="宋体"/>
              </w:rPr>
            </w:pPr>
          </w:p>
          <w:p w14:paraId="7CDD5570">
            <w:pPr>
              <w:bidi w:val="0"/>
              <w:jc w:val="center"/>
              <w:rPr>
                <w:rFonts w:hint="eastAsia" w:ascii="宋体" w:hAnsi="宋体" w:eastAsia="宋体" w:cs="宋体"/>
              </w:rPr>
            </w:pPr>
            <w:r>
              <w:rPr>
                <w:rFonts w:hint="eastAsia" w:ascii="宋体" w:hAnsi="宋体" w:eastAsia="宋体" w:cs="宋体"/>
              </w:rPr>
              <w:t>3</w:t>
            </w:r>
          </w:p>
        </w:tc>
        <w:tc>
          <w:tcPr>
            <w:tcW w:w="3315" w:type="dxa"/>
            <w:vAlign w:val="center"/>
          </w:tcPr>
          <w:p w14:paraId="123F5460">
            <w:pPr>
              <w:bidi w:val="0"/>
              <w:jc w:val="left"/>
              <w:rPr>
                <w:rFonts w:hint="eastAsia" w:ascii="宋体" w:hAnsi="宋体" w:eastAsia="宋体" w:cs="宋体"/>
              </w:rPr>
            </w:pPr>
            <w:r>
              <w:rPr>
                <w:rFonts w:hint="eastAsia" w:ascii="宋体" w:hAnsi="宋体" w:eastAsia="宋体" w:cs="宋体"/>
              </w:rPr>
              <w:t>内钢外玻璃纤维增强塑料双层油罐的内层罐的罐体结构设计，可按现行行业标准《钢制常压储罐第一部分：储存对水有污染的易燃和不易燃液体的埋地卧式圆筒形单层和双层储罐》AQ3020的有关规定执行，钢</w:t>
            </w:r>
            <w:r>
              <w:rPr>
                <w:rFonts w:hint="eastAsia" w:ascii="宋体" w:hAnsi="宋体" w:eastAsia="宋体" w:cs="宋体"/>
                <w:lang w:val="en-US" w:eastAsia="zh-CN"/>
              </w:rPr>
              <w:t>制</w:t>
            </w:r>
            <w:r>
              <w:rPr>
                <w:rFonts w:hint="eastAsia" w:ascii="宋体" w:hAnsi="宋体" w:eastAsia="宋体" w:cs="宋体"/>
              </w:rPr>
              <w:t>油罐的设计内压不应该低于0.08MPa，且罐体公称厚度不得低于7mm，封头公称厚度不得低于8mm。</w:t>
            </w:r>
          </w:p>
        </w:tc>
        <w:tc>
          <w:tcPr>
            <w:tcW w:w="2734" w:type="dxa"/>
            <w:vAlign w:val="center"/>
          </w:tcPr>
          <w:p w14:paraId="5092573E">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45AF00F0">
            <w:pPr>
              <w:bidi w:val="0"/>
              <w:jc w:val="center"/>
              <w:rPr>
                <w:rFonts w:hint="eastAsia" w:ascii="宋体" w:hAnsi="宋体" w:eastAsia="宋体" w:cs="宋体"/>
              </w:rPr>
            </w:pPr>
            <w:r>
              <w:rPr>
                <w:rFonts w:hint="eastAsia" w:ascii="宋体" w:hAnsi="宋体" w:eastAsia="宋体" w:cs="宋体"/>
              </w:rPr>
              <w:t>第6.1.4条</w:t>
            </w:r>
          </w:p>
        </w:tc>
        <w:tc>
          <w:tcPr>
            <w:tcW w:w="2045" w:type="dxa"/>
            <w:vAlign w:val="center"/>
          </w:tcPr>
          <w:p w14:paraId="36B05FE7">
            <w:pPr>
              <w:bidi w:val="0"/>
              <w:jc w:val="center"/>
              <w:rPr>
                <w:rFonts w:hint="eastAsia" w:ascii="宋体" w:hAnsi="宋体" w:eastAsia="宋体" w:cs="宋体"/>
                <w:lang w:eastAsia="zh-CN"/>
              </w:rPr>
            </w:pPr>
            <w:r>
              <w:rPr>
                <w:rFonts w:hint="eastAsia" w:ascii="宋体" w:hAnsi="宋体" w:eastAsia="宋体" w:cs="宋体"/>
              </w:rPr>
              <w:t>采用符合标准的</w:t>
            </w:r>
            <w:r>
              <w:rPr>
                <w:rFonts w:hint="eastAsia" w:ascii="宋体" w:hAnsi="宋体" w:cs="宋体"/>
                <w:lang w:eastAsia="zh-CN"/>
              </w:rPr>
              <w:t>双层油罐</w:t>
            </w:r>
          </w:p>
        </w:tc>
        <w:tc>
          <w:tcPr>
            <w:tcW w:w="821" w:type="dxa"/>
            <w:vAlign w:val="center"/>
          </w:tcPr>
          <w:p w14:paraId="1DE14E84">
            <w:pPr>
              <w:bidi w:val="0"/>
              <w:jc w:val="center"/>
              <w:rPr>
                <w:rFonts w:hint="eastAsia" w:ascii="宋体" w:hAnsi="宋体" w:eastAsia="宋体" w:cs="宋体"/>
              </w:rPr>
            </w:pPr>
            <w:r>
              <w:rPr>
                <w:rFonts w:hint="eastAsia" w:ascii="宋体" w:hAnsi="宋体" w:eastAsia="宋体" w:cs="宋体"/>
              </w:rPr>
              <w:t>符合</w:t>
            </w:r>
          </w:p>
        </w:tc>
      </w:tr>
      <w:tr w14:paraId="546B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2E7A1D5F">
            <w:pPr>
              <w:bidi w:val="0"/>
              <w:jc w:val="center"/>
              <w:rPr>
                <w:rFonts w:hint="eastAsia" w:ascii="宋体" w:hAnsi="宋体" w:eastAsia="宋体" w:cs="宋体"/>
              </w:rPr>
            </w:pPr>
          </w:p>
          <w:p w14:paraId="461B932D">
            <w:pPr>
              <w:bidi w:val="0"/>
              <w:jc w:val="center"/>
              <w:rPr>
                <w:rFonts w:hint="eastAsia" w:ascii="宋体" w:hAnsi="宋体" w:eastAsia="宋体" w:cs="宋体"/>
              </w:rPr>
            </w:pPr>
            <w:r>
              <w:rPr>
                <w:rFonts w:hint="eastAsia" w:ascii="宋体" w:hAnsi="宋体" w:eastAsia="宋体" w:cs="宋体"/>
              </w:rPr>
              <w:t>4</w:t>
            </w:r>
          </w:p>
        </w:tc>
        <w:tc>
          <w:tcPr>
            <w:tcW w:w="3315" w:type="dxa"/>
            <w:vAlign w:val="center"/>
          </w:tcPr>
          <w:p w14:paraId="1215E320">
            <w:pPr>
              <w:bidi w:val="0"/>
              <w:jc w:val="left"/>
              <w:rPr>
                <w:rFonts w:hint="eastAsia" w:ascii="宋体" w:hAnsi="宋体" w:eastAsia="宋体" w:cs="宋体"/>
              </w:rPr>
            </w:pPr>
            <w:r>
              <w:rPr>
                <w:rFonts w:hint="eastAsia" w:ascii="宋体" w:hAnsi="宋体" w:eastAsia="宋体" w:cs="宋体"/>
              </w:rPr>
              <w:t>双层油罐内壁与外壁之间应有满</w:t>
            </w:r>
          </w:p>
          <w:p w14:paraId="2297AA7C">
            <w:pPr>
              <w:bidi w:val="0"/>
              <w:jc w:val="left"/>
              <w:rPr>
                <w:rFonts w:hint="eastAsia" w:ascii="宋体" w:hAnsi="宋体" w:eastAsia="宋体" w:cs="宋体"/>
              </w:rPr>
            </w:pPr>
            <w:r>
              <w:rPr>
                <w:rFonts w:hint="eastAsia" w:ascii="宋体" w:hAnsi="宋体" w:eastAsia="宋体" w:cs="宋体"/>
              </w:rPr>
              <w:t>足渗漏检测要求的贯通间隙。</w:t>
            </w:r>
          </w:p>
        </w:tc>
        <w:tc>
          <w:tcPr>
            <w:tcW w:w="2734" w:type="dxa"/>
            <w:vAlign w:val="center"/>
          </w:tcPr>
          <w:p w14:paraId="38718A3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235991A2">
            <w:pPr>
              <w:bidi w:val="0"/>
              <w:jc w:val="center"/>
              <w:rPr>
                <w:rFonts w:hint="eastAsia" w:ascii="宋体" w:hAnsi="宋体" w:eastAsia="宋体" w:cs="宋体"/>
              </w:rPr>
            </w:pPr>
            <w:r>
              <w:rPr>
                <w:rFonts w:hint="eastAsia" w:ascii="宋体" w:hAnsi="宋体" w:eastAsia="宋体" w:cs="宋体"/>
              </w:rPr>
              <w:t>第6.1.9条</w:t>
            </w:r>
          </w:p>
        </w:tc>
        <w:tc>
          <w:tcPr>
            <w:tcW w:w="2045" w:type="dxa"/>
            <w:vAlign w:val="center"/>
          </w:tcPr>
          <w:p w14:paraId="5F74BF36">
            <w:pPr>
              <w:bidi w:val="0"/>
              <w:jc w:val="center"/>
              <w:rPr>
                <w:rFonts w:hint="eastAsia" w:ascii="宋体" w:hAnsi="宋体" w:eastAsia="宋体" w:cs="宋体"/>
                <w:lang w:eastAsia="zh-CN"/>
              </w:rPr>
            </w:pPr>
            <w:r>
              <w:rPr>
                <w:rFonts w:hint="eastAsia" w:ascii="宋体" w:hAnsi="宋体" w:eastAsia="宋体" w:cs="宋体"/>
              </w:rPr>
              <w:t>采用符合标准的</w:t>
            </w:r>
            <w:r>
              <w:rPr>
                <w:rFonts w:hint="eastAsia" w:ascii="宋体" w:hAnsi="宋体" w:cs="宋体"/>
                <w:lang w:eastAsia="zh-CN"/>
              </w:rPr>
              <w:t>双层油罐</w:t>
            </w:r>
          </w:p>
        </w:tc>
        <w:tc>
          <w:tcPr>
            <w:tcW w:w="821" w:type="dxa"/>
            <w:vAlign w:val="center"/>
          </w:tcPr>
          <w:p w14:paraId="682D3580">
            <w:pPr>
              <w:bidi w:val="0"/>
              <w:jc w:val="center"/>
              <w:rPr>
                <w:rFonts w:hint="eastAsia" w:ascii="宋体" w:hAnsi="宋体" w:eastAsia="宋体" w:cs="宋体"/>
              </w:rPr>
            </w:pPr>
            <w:r>
              <w:rPr>
                <w:rFonts w:hint="eastAsia" w:ascii="宋体" w:hAnsi="宋体" w:eastAsia="宋体" w:cs="宋体"/>
              </w:rPr>
              <w:t>符合</w:t>
            </w:r>
          </w:p>
        </w:tc>
      </w:tr>
      <w:tr w14:paraId="0A66F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shd w:val="clear" w:color="auto" w:fill="auto"/>
            <w:vAlign w:val="center"/>
          </w:tcPr>
          <w:p w14:paraId="6978794E">
            <w:pPr>
              <w:bidi w:val="0"/>
              <w:jc w:val="center"/>
              <w:rPr>
                <w:rFonts w:hint="eastAsia" w:ascii="宋体" w:hAnsi="宋体" w:eastAsia="宋体" w:cs="宋体"/>
                <w:kern w:val="2"/>
                <w:sz w:val="21"/>
                <w:szCs w:val="24"/>
                <w:lang w:val="en-US" w:eastAsia="zh-CN" w:bidi="ar-SA"/>
              </w:rPr>
            </w:pPr>
            <w:r>
              <w:rPr>
                <w:rFonts w:hint="eastAsia" w:ascii="宋体" w:hAnsi="宋体" w:eastAsia="宋体" w:cs="宋体"/>
              </w:rPr>
              <w:t>5</w:t>
            </w:r>
          </w:p>
        </w:tc>
        <w:tc>
          <w:tcPr>
            <w:tcW w:w="3315" w:type="dxa"/>
            <w:shd w:val="clear" w:color="auto" w:fill="auto"/>
            <w:vAlign w:val="center"/>
          </w:tcPr>
          <w:p w14:paraId="47BD5CE8">
            <w:pPr>
              <w:bidi w:val="0"/>
              <w:jc w:val="left"/>
              <w:rPr>
                <w:rFonts w:hint="eastAsia" w:ascii="宋体" w:hAnsi="宋体" w:eastAsia="宋体" w:cs="宋体"/>
              </w:rPr>
            </w:pPr>
            <w:r>
              <w:rPr>
                <w:rFonts w:hint="eastAsia" w:ascii="宋体" w:hAnsi="宋体" w:eastAsia="宋体" w:cs="宋体"/>
              </w:rPr>
              <w:t>内钢外玻璃纤维增强塑料双层油罐应设渗漏检测立管，并应符合下列规定：</w:t>
            </w:r>
          </w:p>
          <w:p w14:paraId="3F76B2B7">
            <w:pPr>
              <w:bidi w:val="0"/>
              <w:jc w:val="left"/>
              <w:rPr>
                <w:rFonts w:hint="eastAsia" w:ascii="宋体" w:hAnsi="宋体" w:eastAsia="宋体" w:cs="宋体"/>
              </w:rPr>
            </w:pPr>
            <w:r>
              <w:rPr>
                <w:rFonts w:hint="eastAsia" w:ascii="宋体" w:hAnsi="宋体" w:eastAsia="宋体" w:cs="宋体"/>
              </w:rPr>
              <w:t>（1）检测立管应采用钢管。直径宜为80mm，壁厚不宜小于4mm；（2）检测立管应位于油罐顶部的纵向中心线上；</w:t>
            </w:r>
          </w:p>
          <w:p w14:paraId="7ECF0E1A">
            <w:pPr>
              <w:bidi w:val="0"/>
              <w:jc w:val="left"/>
              <w:rPr>
                <w:rFonts w:hint="eastAsia" w:ascii="宋体" w:hAnsi="宋体" w:eastAsia="宋体" w:cs="宋体"/>
              </w:rPr>
            </w:pPr>
            <w:r>
              <w:rPr>
                <w:rFonts w:hint="eastAsia" w:ascii="宋体" w:hAnsi="宋体" w:eastAsia="宋体" w:cs="宋体"/>
              </w:rPr>
              <w:t>（3）检测立管的底部管口应与油罐内、外壁间隙相连通，顶部管口应装防尘盖；</w:t>
            </w:r>
          </w:p>
          <w:p w14:paraId="48420590">
            <w:pPr>
              <w:bidi w:val="0"/>
              <w:jc w:val="left"/>
              <w:rPr>
                <w:rFonts w:hint="eastAsia" w:ascii="宋体" w:hAnsi="宋体" w:eastAsia="宋体" w:cs="宋体"/>
                <w:kern w:val="2"/>
                <w:sz w:val="21"/>
                <w:szCs w:val="24"/>
                <w:lang w:val="en-US" w:eastAsia="zh-CN" w:bidi="ar-SA"/>
              </w:rPr>
            </w:pPr>
            <w:r>
              <w:rPr>
                <w:rFonts w:hint="eastAsia" w:ascii="宋体" w:hAnsi="宋体" w:eastAsia="宋体" w:cs="宋体"/>
              </w:rPr>
              <w:t>（4）检测立管应满足人工检测和在线</w:t>
            </w:r>
            <w:r>
              <w:rPr>
                <w:rFonts w:hint="eastAsia" w:ascii="宋体" w:hAnsi="宋体" w:eastAsia="宋体" w:cs="宋体"/>
                <w:lang w:eastAsia="zh-CN"/>
              </w:rPr>
              <w:t>检测</w:t>
            </w:r>
            <w:r>
              <w:rPr>
                <w:rFonts w:hint="eastAsia" w:ascii="宋体" w:hAnsi="宋体" w:eastAsia="宋体" w:cs="宋体"/>
              </w:rPr>
              <w:t>的要求，并应保证油罐内、外壁任何部位出现渗漏均能被发现。</w:t>
            </w:r>
          </w:p>
        </w:tc>
        <w:tc>
          <w:tcPr>
            <w:tcW w:w="2734" w:type="dxa"/>
            <w:shd w:val="clear" w:color="auto" w:fill="auto"/>
            <w:vAlign w:val="center"/>
          </w:tcPr>
          <w:p w14:paraId="55108FD2">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7DD06102">
            <w:pPr>
              <w:bidi w:val="0"/>
              <w:jc w:val="center"/>
              <w:rPr>
                <w:rFonts w:hint="eastAsia" w:ascii="宋体" w:hAnsi="宋体" w:eastAsia="宋体" w:cs="宋体"/>
                <w:kern w:val="2"/>
                <w:sz w:val="21"/>
                <w:szCs w:val="24"/>
                <w:lang w:val="en-US" w:eastAsia="zh-CN" w:bidi="ar-SA"/>
              </w:rPr>
            </w:pPr>
            <w:r>
              <w:rPr>
                <w:rFonts w:hint="eastAsia" w:ascii="宋体" w:hAnsi="宋体" w:eastAsia="宋体" w:cs="宋体"/>
              </w:rPr>
              <w:t>第6.1.10条</w:t>
            </w:r>
          </w:p>
        </w:tc>
        <w:tc>
          <w:tcPr>
            <w:tcW w:w="2045" w:type="dxa"/>
            <w:shd w:val="clear" w:color="auto" w:fill="auto"/>
            <w:vAlign w:val="center"/>
          </w:tcPr>
          <w:p w14:paraId="05891F6C">
            <w:pPr>
              <w:bidi w:val="0"/>
              <w:jc w:val="center"/>
              <w:rPr>
                <w:rFonts w:hint="eastAsia" w:ascii="宋体" w:hAnsi="宋体" w:eastAsia="宋体" w:cs="宋体"/>
              </w:rPr>
            </w:pPr>
            <w:r>
              <w:rPr>
                <w:rFonts w:hint="eastAsia" w:ascii="宋体" w:hAnsi="宋体" w:eastAsia="宋体" w:cs="宋体"/>
              </w:rPr>
              <w:t>采用</w:t>
            </w:r>
            <w:r>
              <w:rPr>
                <w:rFonts w:hint="eastAsia" w:ascii="宋体" w:hAnsi="宋体" w:cs="宋体"/>
                <w:lang w:eastAsia="zh-CN"/>
              </w:rPr>
              <w:t>双层油罐</w:t>
            </w:r>
            <w:r>
              <w:rPr>
                <w:rFonts w:hint="eastAsia" w:ascii="宋体" w:hAnsi="宋体" w:eastAsia="宋体" w:cs="宋体"/>
              </w:rPr>
              <w:t>，并设渗漏检测立管。</w:t>
            </w:r>
          </w:p>
          <w:p w14:paraId="579FBD2E">
            <w:pPr>
              <w:bidi w:val="0"/>
              <w:jc w:val="center"/>
              <w:rPr>
                <w:rFonts w:hint="eastAsia" w:ascii="宋体" w:hAnsi="宋体" w:eastAsia="宋体" w:cs="宋体"/>
                <w:kern w:val="2"/>
                <w:sz w:val="21"/>
                <w:szCs w:val="24"/>
                <w:lang w:val="en-US" w:eastAsia="zh-CN" w:bidi="ar-SA"/>
              </w:rPr>
            </w:pPr>
          </w:p>
        </w:tc>
        <w:tc>
          <w:tcPr>
            <w:tcW w:w="821" w:type="dxa"/>
            <w:shd w:val="clear" w:color="auto" w:fill="auto"/>
            <w:vAlign w:val="center"/>
          </w:tcPr>
          <w:p w14:paraId="53EAE496">
            <w:pPr>
              <w:bidi w:val="0"/>
              <w:jc w:val="center"/>
              <w:rPr>
                <w:rFonts w:hint="eastAsia" w:ascii="宋体" w:hAnsi="宋体" w:eastAsia="宋体" w:cs="宋体"/>
                <w:kern w:val="2"/>
                <w:sz w:val="21"/>
                <w:szCs w:val="24"/>
                <w:lang w:val="en-US" w:eastAsia="zh-CN" w:bidi="ar-SA"/>
              </w:rPr>
            </w:pPr>
            <w:r>
              <w:rPr>
                <w:rFonts w:hint="eastAsia" w:ascii="宋体" w:hAnsi="宋体" w:eastAsia="宋体" w:cs="宋体"/>
              </w:rPr>
              <w:t>符合</w:t>
            </w:r>
          </w:p>
        </w:tc>
      </w:tr>
      <w:tr w14:paraId="77AEB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461F8A13">
            <w:pPr>
              <w:bidi w:val="0"/>
              <w:jc w:val="center"/>
              <w:rPr>
                <w:rFonts w:hint="eastAsia" w:ascii="宋体" w:hAnsi="宋体" w:eastAsia="宋体" w:cs="宋体"/>
              </w:rPr>
            </w:pPr>
            <w:r>
              <w:rPr>
                <w:rFonts w:hint="eastAsia" w:ascii="宋体" w:hAnsi="宋体" w:eastAsia="宋体" w:cs="宋体"/>
              </w:rPr>
              <w:t>6</w:t>
            </w:r>
          </w:p>
        </w:tc>
        <w:tc>
          <w:tcPr>
            <w:tcW w:w="3315" w:type="dxa"/>
            <w:vAlign w:val="center"/>
          </w:tcPr>
          <w:p w14:paraId="598ECB16">
            <w:pPr>
              <w:bidi w:val="0"/>
              <w:jc w:val="left"/>
              <w:rPr>
                <w:rFonts w:hint="eastAsia" w:ascii="宋体" w:hAnsi="宋体" w:eastAsia="宋体" w:cs="宋体"/>
              </w:rPr>
            </w:pPr>
            <w:r>
              <w:rPr>
                <w:rFonts w:hint="eastAsia" w:ascii="宋体" w:hAnsi="宋体" w:eastAsia="宋体" w:cs="宋体"/>
              </w:rPr>
              <w:t>油罐应采用钢制人孔盖。</w:t>
            </w:r>
          </w:p>
        </w:tc>
        <w:tc>
          <w:tcPr>
            <w:tcW w:w="2734" w:type="dxa"/>
            <w:vAlign w:val="center"/>
          </w:tcPr>
          <w:p w14:paraId="7DAFA918">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30C3D398">
            <w:pPr>
              <w:bidi w:val="0"/>
              <w:jc w:val="center"/>
              <w:rPr>
                <w:rFonts w:hint="eastAsia" w:ascii="宋体" w:hAnsi="宋体" w:eastAsia="宋体" w:cs="宋体"/>
              </w:rPr>
            </w:pPr>
            <w:r>
              <w:rPr>
                <w:rFonts w:hint="eastAsia" w:ascii="宋体" w:hAnsi="宋体" w:eastAsia="宋体" w:cs="宋体"/>
              </w:rPr>
              <w:t>第6.1.11条</w:t>
            </w:r>
          </w:p>
        </w:tc>
        <w:tc>
          <w:tcPr>
            <w:tcW w:w="2045" w:type="dxa"/>
            <w:vAlign w:val="center"/>
          </w:tcPr>
          <w:p w14:paraId="5B813C9D">
            <w:pPr>
              <w:bidi w:val="0"/>
              <w:jc w:val="center"/>
              <w:rPr>
                <w:rFonts w:hint="eastAsia" w:ascii="宋体" w:hAnsi="宋体" w:eastAsia="宋体" w:cs="宋体"/>
              </w:rPr>
            </w:pPr>
            <w:r>
              <w:rPr>
                <w:rFonts w:hint="eastAsia" w:ascii="宋体" w:hAnsi="宋体" w:eastAsia="宋体" w:cs="宋体"/>
              </w:rPr>
              <w:t>加油站设置钢制人孔井盖。</w:t>
            </w:r>
          </w:p>
        </w:tc>
        <w:tc>
          <w:tcPr>
            <w:tcW w:w="821" w:type="dxa"/>
            <w:vAlign w:val="center"/>
          </w:tcPr>
          <w:p w14:paraId="0A471CAD">
            <w:pPr>
              <w:bidi w:val="0"/>
              <w:jc w:val="center"/>
              <w:rPr>
                <w:rFonts w:hint="eastAsia" w:ascii="宋体" w:hAnsi="宋体" w:eastAsia="宋体" w:cs="宋体"/>
              </w:rPr>
            </w:pPr>
            <w:r>
              <w:rPr>
                <w:rFonts w:hint="eastAsia" w:ascii="宋体" w:hAnsi="宋体" w:eastAsia="宋体" w:cs="宋体"/>
              </w:rPr>
              <w:t>符合</w:t>
            </w:r>
          </w:p>
        </w:tc>
      </w:tr>
      <w:tr w14:paraId="4864E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489" w:type="dxa"/>
            <w:vAlign w:val="center"/>
          </w:tcPr>
          <w:p w14:paraId="3444C583">
            <w:pPr>
              <w:bidi w:val="0"/>
              <w:jc w:val="center"/>
              <w:rPr>
                <w:rFonts w:hint="eastAsia" w:ascii="宋体" w:hAnsi="宋体" w:eastAsia="宋体" w:cs="宋体"/>
              </w:rPr>
            </w:pPr>
            <w:r>
              <w:rPr>
                <w:rFonts w:hint="eastAsia" w:ascii="宋体" w:hAnsi="宋体" w:eastAsia="宋体" w:cs="宋体"/>
              </w:rPr>
              <w:t>7</w:t>
            </w:r>
          </w:p>
        </w:tc>
        <w:tc>
          <w:tcPr>
            <w:tcW w:w="3315" w:type="dxa"/>
            <w:vAlign w:val="center"/>
          </w:tcPr>
          <w:p w14:paraId="25DBD6D0">
            <w:pPr>
              <w:bidi w:val="0"/>
              <w:jc w:val="left"/>
              <w:rPr>
                <w:rFonts w:hint="eastAsia" w:ascii="宋体" w:hAnsi="宋体" w:eastAsia="宋体" w:cs="宋体"/>
              </w:rPr>
            </w:pPr>
            <w:r>
              <w:rPr>
                <w:rFonts w:hint="eastAsia" w:ascii="宋体" w:hAnsi="宋体" w:eastAsia="宋体" w:cs="宋体"/>
              </w:rPr>
              <w:t>油罐设在非车行道下面时，罐顶的覆土厚度不应小于0.5m；设在车行道下面时，罐顶低于混凝土路面不宜小于0.9m。钢制油罐的周围应回填中性沙或细土，其厚度不应小于0.3m；外层为玻璃纤维增强塑料的油罐，回填料应符合产品说明书的</w:t>
            </w:r>
          </w:p>
          <w:p w14:paraId="6BB21D3B">
            <w:pPr>
              <w:bidi w:val="0"/>
              <w:jc w:val="left"/>
              <w:rPr>
                <w:rFonts w:hint="eastAsia" w:ascii="宋体" w:hAnsi="宋体" w:eastAsia="宋体" w:cs="宋体"/>
              </w:rPr>
            </w:pPr>
            <w:r>
              <w:rPr>
                <w:rFonts w:hint="eastAsia" w:ascii="宋体" w:hAnsi="宋体" w:eastAsia="宋体" w:cs="宋体"/>
              </w:rPr>
              <w:t>要求。</w:t>
            </w:r>
          </w:p>
        </w:tc>
        <w:tc>
          <w:tcPr>
            <w:tcW w:w="2734" w:type="dxa"/>
            <w:vAlign w:val="center"/>
          </w:tcPr>
          <w:p w14:paraId="6C41B92B">
            <w:pPr>
              <w:bidi w:val="0"/>
              <w:jc w:val="both"/>
              <w:rPr>
                <w:rFonts w:hint="eastAsia" w:ascii="宋体" w:hAnsi="宋体" w:eastAsia="宋体" w:cs="宋体"/>
              </w:rPr>
            </w:pPr>
            <w:r>
              <w:rPr>
                <w:rFonts w:hint="eastAsia" w:ascii="宋体" w:hAnsi="宋体" w:eastAsia="宋体" w:cs="宋体"/>
              </w:rPr>
              <w:t>《汽车加油加气加氢站技术标准》（GB50156-2021）</w:t>
            </w:r>
          </w:p>
          <w:p w14:paraId="3137474C">
            <w:pPr>
              <w:bidi w:val="0"/>
              <w:jc w:val="center"/>
              <w:rPr>
                <w:rFonts w:hint="eastAsia" w:ascii="宋体" w:hAnsi="宋体" w:eastAsia="宋体" w:cs="宋体"/>
              </w:rPr>
            </w:pPr>
            <w:r>
              <w:rPr>
                <w:rFonts w:hint="eastAsia" w:ascii="宋体" w:hAnsi="宋体" w:eastAsia="宋体" w:cs="宋体"/>
              </w:rPr>
              <w:t>第6.1.12条</w:t>
            </w:r>
          </w:p>
        </w:tc>
        <w:tc>
          <w:tcPr>
            <w:tcW w:w="2045" w:type="dxa"/>
            <w:vAlign w:val="center"/>
          </w:tcPr>
          <w:p w14:paraId="7A7D3A6B">
            <w:pPr>
              <w:bidi w:val="0"/>
              <w:jc w:val="center"/>
              <w:rPr>
                <w:rFonts w:hint="eastAsia" w:ascii="宋体" w:hAnsi="宋体" w:eastAsia="宋体" w:cs="宋体"/>
                <w:lang w:val="en-US" w:eastAsia="zh-CN"/>
              </w:rPr>
            </w:pPr>
            <w:r>
              <w:t>油罐区布置在加油区</w:t>
            </w:r>
            <w:r>
              <w:rPr>
                <w:rFonts w:hint="eastAsia"/>
                <w:lang w:val="en-US" w:eastAsia="zh-CN"/>
              </w:rPr>
              <w:t>西北侧</w:t>
            </w:r>
            <w:r>
              <w:t>，</w:t>
            </w:r>
            <w:r>
              <w:rPr>
                <w:rFonts w:hint="eastAsia"/>
                <w:lang w:val="en-US" w:eastAsia="zh-CN"/>
              </w:rPr>
              <w:t>回填料符合产品说明书要求。</w:t>
            </w:r>
          </w:p>
        </w:tc>
        <w:tc>
          <w:tcPr>
            <w:tcW w:w="821" w:type="dxa"/>
            <w:vAlign w:val="center"/>
          </w:tcPr>
          <w:p w14:paraId="055E2747">
            <w:pPr>
              <w:bidi w:val="0"/>
              <w:jc w:val="center"/>
              <w:rPr>
                <w:rFonts w:hint="eastAsia" w:ascii="宋体" w:hAnsi="宋体" w:eastAsia="宋体" w:cs="宋体"/>
              </w:rPr>
            </w:pPr>
            <w:r>
              <w:rPr>
                <w:rFonts w:hint="eastAsia" w:ascii="宋体" w:hAnsi="宋体" w:eastAsia="宋体" w:cs="宋体"/>
              </w:rPr>
              <w:t>符合</w:t>
            </w:r>
          </w:p>
        </w:tc>
      </w:tr>
      <w:tr w14:paraId="2715B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489" w:type="dxa"/>
            <w:vAlign w:val="center"/>
          </w:tcPr>
          <w:p w14:paraId="75E4C71E">
            <w:pPr>
              <w:bidi w:val="0"/>
              <w:jc w:val="center"/>
              <w:rPr>
                <w:rFonts w:hint="eastAsia" w:ascii="宋体" w:hAnsi="宋体" w:eastAsia="宋体" w:cs="宋体"/>
              </w:rPr>
            </w:pPr>
            <w:r>
              <w:rPr>
                <w:rFonts w:hint="eastAsia" w:ascii="宋体" w:hAnsi="宋体" w:eastAsia="宋体" w:cs="宋体"/>
              </w:rPr>
              <w:t>8</w:t>
            </w:r>
          </w:p>
        </w:tc>
        <w:tc>
          <w:tcPr>
            <w:tcW w:w="3315" w:type="dxa"/>
            <w:vAlign w:val="center"/>
          </w:tcPr>
          <w:p w14:paraId="7F5113F9">
            <w:pPr>
              <w:bidi w:val="0"/>
              <w:jc w:val="left"/>
              <w:rPr>
                <w:rFonts w:hint="eastAsia" w:ascii="宋体" w:hAnsi="宋体" w:eastAsia="宋体" w:cs="宋体"/>
              </w:rPr>
            </w:pPr>
            <w:r>
              <w:rPr>
                <w:rFonts w:hint="eastAsia" w:ascii="宋体" w:hAnsi="宋体" w:eastAsia="宋体" w:cs="宋体"/>
              </w:rPr>
              <w:t>当埋地油罐受地下水或雨水作用有上浮的可能时，应采取防止油罐上浮的措施。</w:t>
            </w:r>
          </w:p>
        </w:tc>
        <w:tc>
          <w:tcPr>
            <w:tcW w:w="2734" w:type="dxa"/>
            <w:vAlign w:val="center"/>
          </w:tcPr>
          <w:p w14:paraId="0D393EC6">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3299501C">
            <w:pPr>
              <w:bidi w:val="0"/>
              <w:jc w:val="center"/>
              <w:rPr>
                <w:rFonts w:hint="eastAsia" w:ascii="宋体" w:hAnsi="宋体" w:eastAsia="宋体" w:cs="宋体"/>
              </w:rPr>
            </w:pPr>
            <w:r>
              <w:rPr>
                <w:rFonts w:hint="eastAsia" w:ascii="宋体" w:hAnsi="宋体" w:eastAsia="宋体" w:cs="宋体"/>
              </w:rPr>
              <w:t>6.1.13条</w:t>
            </w:r>
          </w:p>
        </w:tc>
        <w:tc>
          <w:tcPr>
            <w:tcW w:w="2045" w:type="dxa"/>
            <w:vAlign w:val="center"/>
          </w:tcPr>
          <w:p w14:paraId="777C3320">
            <w:pPr>
              <w:bidi w:val="0"/>
              <w:jc w:val="center"/>
              <w:rPr>
                <w:rFonts w:hint="eastAsia" w:ascii="宋体" w:hAnsi="宋体" w:eastAsia="宋体" w:cs="宋体"/>
              </w:rPr>
            </w:pPr>
            <w:r>
              <w:rPr>
                <w:rFonts w:hint="eastAsia" w:ascii="宋体" w:hAnsi="宋体" w:eastAsia="宋体" w:cs="宋体"/>
              </w:rPr>
              <w:t>采用</w:t>
            </w:r>
            <w:r>
              <w:rPr>
                <w:rFonts w:hint="eastAsia" w:ascii="宋体" w:hAnsi="宋体" w:cs="宋体"/>
                <w:lang w:eastAsia="zh-CN"/>
              </w:rPr>
              <w:t>双层油罐</w:t>
            </w:r>
            <w:r>
              <w:rPr>
                <w:rFonts w:hint="eastAsia" w:ascii="宋体" w:hAnsi="宋体" w:eastAsia="宋体" w:cs="宋体"/>
              </w:rPr>
              <w:t>，有防止油罐上浮的措施。</w:t>
            </w:r>
          </w:p>
        </w:tc>
        <w:tc>
          <w:tcPr>
            <w:tcW w:w="821" w:type="dxa"/>
            <w:vAlign w:val="center"/>
          </w:tcPr>
          <w:p w14:paraId="394AB688">
            <w:pPr>
              <w:bidi w:val="0"/>
              <w:jc w:val="center"/>
              <w:rPr>
                <w:rFonts w:hint="eastAsia" w:ascii="宋体" w:hAnsi="宋体" w:eastAsia="宋体" w:cs="宋体"/>
              </w:rPr>
            </w:pPr>
            <w:r>
              <w:rPr>
                <w:rFonts w:hint="eastAsia" w:ascii="宋体" w:hAnsi="宋体" w:eastAsia="宋体" w:cs="宋体"/>
              </w:rPr>
              <w:t>符合</w:t>
            </w:r>
          </w:p>
        </w:tc>
      </w:tr>
      <w:tr w14:paraId="7F058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89" w:type="dxa"/>
            <w:vAlign w:val="center"/>
          </w:tcPr>
          <w:p w14:paraId="69F1A194">
            <w:pPr>
              <w:bidi w:val="0"/>
              <w:jc w:val="center"/>
              <w:rPr>
                <w:rFonts w:hint="eastAsia" w:ascii="宋体" w:hAnsi="宋体" w:eastAsia="宋体" w:cs="宋体"/>
              </w:rPr>
            </w:pPr>
            <w:r>
              <w:rPr>
                <w:rFonts w:hint="eastAsia" w:ascii="宋体" w:hAnsi="宋体" w:eastAsia="宋体" w:cs="宋体"/>
              </w:rPr>
              <w:t>9</w:t>
            </w:r>
          </w:p>
        </w:tc>
        <w:tc>
          <w:tcPr>
            <w:tcW w:w="3315" w:type="dxa"/>
            <w:vAlign w:val="center"/>
          </w:tcPr>
          <w:p w14:paraId="4692BBB6">
            <w:pPr>
              <w:bidi w:val="0"/>
              <w:jc w:val="left"/>
              <w:rPr>
                <w:rFonts w:hint="eastAsia" w:ascii="宋体" w:hAnsi="宋体" w:eastAsia="宋体" w:cs="宋体"/>
              </w:rPr>
            </w:pPr>
            <w:r>
              <w:rPr>
                <w:rFonts w:hint="eastAsia" w:ascii="宋体" w:hAnsi="宋体" w:eastAsia="宋体" w:cs="宋体"/>
              </w:rPr>
              <w:t>埋地油罐的人孔应设操作井。设在</w:t>
            </w:r>
          </w:p>
          <w:p w14:paraId="264D1264">
            <w:pPr>
              <w:bidi w:val="0"/>
              <w:jc w:val="left"/>
              <w:rPr>
                <w:rFonts w:hint="eastAsia" w:ascii="宋体" w:hAnsi="宋体" w:eastAsia="宋体" w:cs="宋体"/>
                <w:lang w:eastAsia="zh-CN"/>
              </w:rPr>
            </w:pPr>
            <w:r>
              <w:rPr>
                <w:rFonts w:hint="eastAsia" w:ascii="宋体" w:hAnsi="宋体" w:eastAsia="宋体" w:cs="宋体"/>
              </w:rPr>
              <w:t>行车道下面的人孔井应采用加油站车行道下专用的密闭井盖和井座</w:t>
            </w:r>
            <w:r>
              <w:rPr>
                <w:rFonts w:hint="eastAsia" w:ascii="宋体" w:hAnsi="宋体" w:eastAsia="宋体" w:cs="宋体"/>
                <w:lang w:eastAsia="zh-CN"/>
              </w:rPr>
              <w:t>。</w:t>
            </w:r>
          </w:p>
        </w:tc>
        <w:tc>
          <w:tcPr>
            <w:tcW w:w="2734" w:type="dxa"/>
            <w:vAlign w:val="center"/>
          </w:tcPr>
          <w:p w14:paraId="62F61F4F">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73447C03">
            <w:pPr>
              <w:bidi w:val="0"/>
              <w:jc w:val="center"/>
              <w:rPr>
                <w:rFonts w:hint="eastAsia" w:ascii="宋体" w:hAnsi="宋体" w:eastAsia="宋体" w:cs="宋体"/>
              </w:rPr>
            </w:pPr>
            <w:r>
              <w:rPr>
                <w:rFonts w:hint="eastAsia" w:ascii="宋体" w:hAnsi="宋体" w:eastAsia="宋体" w:cs="宋体"/>
              </w:rPr>
              <w:t>6.1.14条</w:t>
            </w:r>
          </w:p>
        </w:tc>
        <w:tc>
          <w:tcPr>
            <w:tcW w:w="2045" w:type="dxa"/>
            <w:vAlign w:val="center"/>
          </w:tcPr>
          <w:p w14:paraId="32EA35BF">
            <w:pPr>
              <w:bidi w:val="0"/>
              <w:jc w:val="center"/>
              <w:rPr>
                <w:rFonts w:hint="eastAsia" w:ascii="宋体" w:hAnsi="宋体" w:eastAsia="宋体" w:cs="宋体"/>
              </w:rPr>
            </w:pPr>
            <w:r>
              <w:rPr>
                <w:rFonts w:hint="eastAsia" w:ascii="宋体" w:hAnsi="宋体" w:eastAsia="宋体" w:cs="宋体"/>
              </w:rPr>
              <w:t>油罐区</w:t>
            </w:r>
            <w:r>
              <w:rPr>
                <w:rFonts w:hint="eastAsia" w:ascii="宋体" w:hAnsi="宋体" w:eastAsia="宋体" w:cs="宋体"/>
                <w:lang w:val="en-US" w:eastAsia="zh-CN"/>
              </w:rPr>
              <w:t>单独设置。加油站人孔井采用专用的密封井盖和井座。</w:t>
            </w:r>
          </w:p>
        </w:tc>
        <w:tc>
          <w:tcPr>
            <w:tcW w:w="821" w:type="dxa"/>
            <w:vAlign w:val="center"/>
          </w:tcPr>
          <w:p w14:paraId="52F04E07">
            <w:pPr>
              <w:bidi w:val="0"/>
              <w:jc w:val="center"/>
              <w:rPr>
                <w:rFonts w:hint="eastAsia" w:ascii="宋体" w:hAnsi="宋体" w:eastAsia="宋体" w:cs="宋体"/>
              </w:rPr>
            </w:pPr>
          </w:p>
          <w:p w14:paraId="169F84C6">
            <w:pPr>
              <w:bidi w:val="0"/>
              <w:jc w:val="center"/>
              <w:rPr>
                <w:rFonts w:hint="eastAsia" w:ascii="宋体" w:hAnsi="宋体" w:eastAsia="宋体" w:cs="宋体"/>
              </w:rPr>
            </w:pPr>
            <w:r>
              <w:rPr>
                <w:rFonts w:hint="eastAsia" w:ascii="宋体" w:hAnsi="宋体" w:eastAsia="宋体" w:cs="宋体"/>
              </w:rPr>
              <w:t>符合</w:t>
            </w:r>
          </w:p>
        </w:tc>
      </w:tr>
      <w:tr w14:paraId="46DD1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489" w:type="dxa"/>
            <w:vAlign w:val="center"/>
          </w:tcPr>
          <w:p w14:paraId="64C95BBB">
            <w:pPr>
              <w:bidi w:val="0"/>
              <w:jc w:val="center"/>
              <w:rPr>
                <w:rFonts w:hint="eastAsia" w:ascii="宋体" w:hAnsi="宋体" w:eastAsia="宋体" w:cs="宋体"/>
              </w:rPr>
            </w:pPr>
            <w:r>
              <w:rPr>
                <w:rFonts w:hint="eastAsia" w:ascii="宋体" w:hAnsi="宋体" w:eastAsia="宋体" w:cs="宋体"/>
              </w:rPr>
              <w:t>10</w:t>
            </w:r>
          </w:p>
        </w:tc>
        <w:tc>
          <w:tcPr>
            <w:tcW w:w="3315" w:type="dxa"/>
            <w:vAlign w:val="center"/>
          </w:tcPr>
          <w:p w14:paraId="6070391F">
            <w:pPr>
              <w:bidi w:val="0"/>
              <w:jc w:val="left"/>
              <w:rPr>
                <w:rFonts w:hint="eastAsia" w:ascii="宋体" w:hAnsi="宋体" w:eastAsia="宋体" w:cs="宋体"/>
              </w:rPr>
            </w:pPr>
            <w:r>
              <w:rPr>
                <w:rFonts w:hint="eastAsia" w:ascii="宋体" w:hAnsi="宋体" w:eastAsia="宋体" w:cs="宋体"/>
              </w:rPr>
              <w:t>油罐卸油应采取防满溢措施。油料达到油罐容量90%时，应能触动高液位报警装置；油料达到油罐容量95%时，应能自动停止油料继续进罐。高液位报警装置应位于工作人员便于察觉的地点。</w:t>
            </w:r>
          </w:p>
        </w:tc>
        <w:tc>
          <w:tcPr>
            <w:tcW w:w="2734" w:type="dxa"/>
            <w:vAlign w:val="center"/>
          </w:tcPr>
          <w:p w14:paraId="54CFBF6B">
            <w:pPr>
              <w:bidi w:val="0"/>
              <w:jc w:val="center"/>
              <w:rPr>
                <w:rFonts w:hint="eastAsia" w:ascii="宋体" w:hAnsi="宋体" w:eastAsia="宋体" w:cs="宋体"/>
              </w:rPr>
            </w:pPr>
          </w:p>
          <w:p w14:paraId="50DEE1D2">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0F927920">
            <w:pPr>
              <w:bidi w:val="0"/>
              <w:jc w:val="center"/>
              <w:rPr>
                <w:rFonts w:hint="eastAsia" w:ascii="宋体" w:hAnsi="宋体" w:eastAsia="宋体" w:cs="宋体"/>
              </w:rPr>
            </w:pPr>
            <w:r>
              <w:rPr>
                <w:rFonts w:hint="eastAsia" w:ascii="宋体" w:hAnsi="宋体" w:eastAsia="宋体" w:cs="宋体"/>
              </w:rPr>
              <w:t>6.1.15条</w:t>
            </w:r>
          </w:p>
        </w:tc>
        <w:tc>
          <w:tcPr>
            <w:tcW w:w="2045" w:type="dxa"/>
            <w:vAlign w:val="center"/>
          </w:tcPr>
          <w:p w14:paraId="27886C1D">
            <w:pPr>
              <w:bidi w:val="0"/>
              <w:jc w:val="center"/>
              <w:rPr>
                <w:rFonts w:hint="eastAsia" w:ascii="宋体" w:hAnsi="宋体" w:eastAsia="宋体" w:cs="宋体"/>
              </w:rPr>
            </w:pPr>
            <w:r>
              <w:rPr>
                <w:rFonts w:hint="eastAsia" w:ascii="宋体" w:hAnsi="宋体" w:eastAsia="宋体" w:cs="宋体"/>
              </w:rPr>
              <w:t>设有液位报警装置。</w:t>
            </w:r>
          </w:p>
        </w:tc>
        <w:tc>
          <w:tcPr>
            <w:tcW w:w="821" w:type="dxa"/>
            <w:vAlign w:val="center"/>
          </w:tcPr>
          <w:p w14:paraId="24D1C967">
            <w:pPr>
              <w:bidi w:val="0"/>
              <w:jc w:val="center"/>
              <w:rPr>
                <w:rFonts w:hint="eastAsia" w:ascii="宋体" w:hAnsi="宋体" w:eastAsia="宋体" w:cs="宋体"/>
              </w:rPr>
            </w:pPr>
            <w:r>
              <w:rPr>
                <w:rFonts w:hint="eastAsia" w:ascii="宋体" w:hAnsi="宋体" w:eastAsia="宋体" w:cs="宋体"/>
              </w:rPr>
              <w:t>符合</w:t>
            </w:r>
          </w:p>
        </w:tc>
      </w:tr>
      <w:tr w14:paraId="38F70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489" w:type="dxa"/>
            <w:vAlign w:val="center"/>
          </w:tcPr>
          <w:p w14:paraId="1AE4E874">
            <w:pPr>
              <w:bidi w:val="0"/>
              <w:jc w:val="center"/>
              <w:rPr>
                <w:rFonts w:hint="eastAsia" w:ascii="宋体" w:hAnsi="宋体" w:eastAsia="宋体" w:cs="宋体"/>
              </w:rPr>
            </w:pPr>
            <w:r>
              <w:rPr>
                <w:rFonts w:hint="eastAsia" w:ascii="宋体" w:hAnsi="宋体" w:eastAsia="宋体" w:cs="宋体"/>
              </w:rPr>
              <w:t>11</w:t>
            </w:r>
          </w:p>
        </w:tc>
        <w:tc>
          <w:tcPr>
            <w:tcW w:w="3315" w:type="dxa"/>
            <w:vAlign w:val="center"/>
          </w:tcPr>
          <w:p w14:paraId="4D48AA0D">
            <w:pPr>
              <w:bidi w:val="0"/>
              <w:jc w:val="left"/>
              <w:rPr>
                <w:rFonts w:hint="eastAsia" w:ascii="宋体" w:hAnsi="宋体" w:eastAsia="宋体" w:cs="宋体"/>
              </w:rPr>
            </w:pPr>
            <w:r>
              <w:rPr>
                <w:rFonts w:hint="eastAsia" w:ascii="宋体" w:hAnsi="宋体" w:eastAsia="宋体" w:cs="宋体"/>
              </w:rPr>
              <w:t>设有油气回收系统的加油站，站内油罐应设带有高液位报警功能的液位监测系统。单层油罐的液位监测系统尚应具备渗漏检测功能，渗漏检测分辨率不宜大于0.8L/h。</w:t>
            </w:r>
          </w:p>
        </w:tc>
        <w:tc>
          <w:tcPr>
            <w:tcW w:w="2734" w:type="dxa"/>
            <w:vAlign w:val="center"/>
          </w:tcPr>
          <w:p w14:paraId="3043DC5B">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17E85126">
            <w:pPr>
              <w:bidi w:val="0"/>
              <w:jc w:val="center"/>
              <w:rPr>
                <w:rFonts w:hint="eastAsia" w:ascii="宋体" w:hAnsi="宋体" w:eastAsia="宋体" w:cs="宋体"/>
              </w:rPr>
            </w:pPr>
            <w:r>
              <w:rPr>
                <w:rFonts w:hint="eastAsia" w:ascii="宋体" w:hAnsi="宋体" w:eastAsia="宋体" w:cs="宋体"/>
              </w:rPr>
              <w:t>6.1.16条</w:t>
            </w:r>
          </w:p>
        </w:tc>
        <w:tc>
          <w:tcPr>
            <w:tcW w:w="2045" w:type="dxa"/>
            <w:vAlign w:val="center"/>
          </w:tcPr>
          <w:p w14:paraId="28C668DE">
            <w:pPr>
              <w:bidi w:val="0"/>
              <w:jc w:val="center"/>
              <w:rPr>
                <w:rFonts w:hint="eastAsia" w:ascii="宋体" w:hAnsi="宋体" w:eastAsia="宋体" w:cs="宋体"/>
              </w:rPr>
            </w:pPr>
            <w:r>
              <w:rPr>
                <w:rFonts w:hint="eastAsia" w:ascii="宋体" w:hAnsi="宋体" w:eastAsia="宋体" w:cs="宋体"/>
              </w:rPr>
              <w:t>加油站设置油气回收系统，油罐设置带有高液位报警功能的液位计。采用</w:t>
            </w:r>
            <w:r>
              <w:rPr>
                <w:rFonts w:hint="eastAsia" w:ascii="宋体" w:hAnsi="宋体" w:cs="宋体"/>
                <w:lang w:eastAsia="zh-CN"/>
              </w:rPr>
              <w:t>双层油罐</w:t>
            </w:r>
            <w:r>
              <w:rPr>
                <w:rFonts w:hint="eastAsia" w:ascii="宋体" w:hAnsi="宋体" w:eastAsia="宋体" w:cs="宋体"/>
              </w:rPr>
              <w:t>。</w:t>
            </w:r>
          </w:p>
        </w:tc>
        <w:tc>
          <w:tcPr>
            <w:tcW w:w="821" w:type="dxa"/>
            <w:vAlign w:val="center"/>
          </w:tcPr>
          <w:p w14:paraId="219137EE">
            <w:pPr>
              <w:bidi w:val="0"/>
              <w:jc w:val="center"/>
              <w:rPr>
                <w:rFonts w:hint="eastAsia" w:ascii="宋体" w:hAnsi="宋体" w:eastAsia="宋体" w:cs="宋体"/>
              </w:rPr>
            </w:pPr>
            <w:r>
              <w:rPr>
                <w:rFonts w:hint="eastAsia" w:ascii="宋体" w:hAnsi="宋体" w:eastAsia="宋体" w:cs="宋体"/>
              </w:rPr>
              <w:t>符合</w:t>
            </w:r>
          </w:p>
        </w:tc>
      </w:tr>
      <w:tr w14:paraId="28926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489" w:type="dxa"/>
            <w:vAlign w:val="center"/>
          </w:tcPr>
          <w:p w14:paraId="09E5D242">
            <w:pPr>
              <w:bidi w:val="0"/>
              <w:jc w:val="center"/>
              <w:rPr>
                <w:rFonts w:hint="eastAsia" w:ascii="宋体" w:hAnsi="宋体" w:eastAsia="宋体" w:cs="宋体"/>
              </w:rPr>
            </w:pPr>
            <w:r>
              <w:rPr>
                <w:rFonts w:hint="eastAsia" w:ascii="宋体" w:hAnsi="宋体" w:eastAsia="宋体" w:cs="宋体"/>
              </w:rPr>
              <w:t>12</w:t>
            </w:r>
          </w:p>
        </w:tc>
        <w:tc>
          <w:tcPr>
            <w:tcW w:w="3315" w:type="dxa"/>
            <w:vAlign w:val="center"/>
          </w:tcPr>
          <w:p w14:paraId="495925BD">
            <w:pPr>
              <w:bidi w:val="0"/>
              <w:jc w:val="left"/>
              <w:rPr>
                <w:rFonts w:hint="eastAsia" w:ascii="宋体" w:hAnsi="宋体" w:eastAsia="宋体" w:cs="宋体"/>
              </w:rPr>
            </w:pPr>
            <w:r>
              <w:rPr>
                <w:rFonts w:hint="eastAsia" w:ascii="宋体" w:hAnsi="宋体" w:eastAsia="宋体" w:cs="宋体"/>
              </w:rPr>
              <w:t>与土壤接触的钢制油罐的外表面，防腐设计应符合现行行业标准《石油化工设备和管道涂料防腐蚀技术规范》SH/T3022的有关规定，且防腐等级不应低于加强级。</w:t>
            </w:r>
          </w:p>
        </w:tc>
        <w:tc>
          <w:tcPr>
            <w:tcW w:w="2734" w:type="dxa"/>
            <w:vAlign w:val="center"/>
          </w:tcPr>
          <w:p w14:paraId="558CD956">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110801C4">
            <w:pPr>
              <w:bidi w:val="0"/>
              <w:jc w:val="center"/>
              <w:rPr>
                <w:rFonts w:hint="eastAsia" w:ascii="宋体" w:hAnsi="宋体" w:eastAsia="宋体" w:cs="宋体"/>
              </w:rPr>
            </w:pPr>
            <w:r>
              <w:rPr>
                <w:rFonts w:hint="eastAsia" w:ascii="宋体" w:hAnsi="宋体" w:eastAsia="宋体" w:cs="宋体"/>
              </w:rPr>
              <w:t>第6.1.17条</w:t>
            </w:r>
          </w:p>
        </w:tc>
        <w:tc>
          <w:tcPr>
            <w:tcW w:w="2045" w:type="dxa"/>
            <w:vAlign w:val="center"/>
          </w:tcPr>
          <w:p w14:paraId="069E5558">
            <w:pPr>
              <w:bidi w:val="0"/>
              <w:jc w:val="center"/>
              <w:rPr>
                <w:rFonts w:hint="eastAsia" w:ascii="宋体" w:hAnsi="宋体" w:eastAsia="宋体" w:cs="宋体"/>
              </w:rPr>
            </w:pPr>
            <w:r>
              <w:rPr>
                <w:rFonts w:hint="eastAsia" w:ascii="宋体" w:hAnsi="宋体" w:eastAsia="宋体" w:cs="宋体"/>
              </w:rPr>
              <w:t>工程所有管道及设备均进行防腐处理，</w:t>
            </w:r>
          </w:p>
          <w:p w14:paraId="78C03569">
            <w:pPr>
              <w:bidi w:val="0"/>
              <w:jc w:val="center"/>
              <w:rPr>
                <w:rFonts w:hint="eastAsia" w:ascii="宋体" w:hAnsi="宋体" w:eastAsia="宋体" w:cs="宋体"/>
              </w:rPr>
            </w:pPr>
            <w:r>
              <w:rPr>
                <w:rFonts w:hint="eastAsia" w:ascii="宋体" w:hAnsi="宋体" w:eastAsia="宋体" w:cs="宋体"/>
              </w:rPr>
              <w:t>对埋地管道采取特殊加强级防腐。</w:t>
            </w:r>
          </w:p>
        </w:tc>
        <w:tc>
          <w:tcPr>
            <w:tcW w:w="821" w:type="dxa"/>
            <w:vAlign w:val="center"/>
          </w:tcPr>
          <w:p w14:paraId="15A5B07A">
            <w:pPr>
              <w:bidi w:val="0"/>
              <w:jc w:val="center"/>
              <w:rPr>
                <w:rFonts w:hint="eastAsia" w:ascii="宋体" w:hAnsi="宋体" w:eastAsia="宋体" w:cs="宋体"/>
              </w:rPr>
            </w:pPr>
            <w:r>
              <w:rPr>
                <w:rFonts w:hint="eastAsia" w:ascii="宋体" w:hAnsi="宋体" w:eastAsia="宋体" w:cs="宋体"/>
              </w:rPr>
              <w:t>符合</w:t>
            </w:r>
          </w:p>
        </w:tc>
      </w:tr>
      <w:tr w14:paraId="192D9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404" w:type="dxa"/>
            <w:gridSpan w:val="5"/>
            <w:vAlign w:val="center"/>
          </w:tcPr>
          <w:p w14:paraId="59AC3DEF">
            <w:pPr>
              <w:bidi w:val="0"/>
              <w:jc w:val="center"/>
              <w:rPr>
                <w:rFonts w:hint="eastAsia" w:ascii="宋体" w:hAnsi="宋体" w:eastAsia="宋体" w:cs="宋体"/>
                <w:lang w:val="en-US" w:eastAsia="zh-CN"/>
              </w:rPr>
            </w:pPr>
            <w:r>
              <w:rPr>
                <w:rFonts w:hint="eastAsia" w:ascii="宋体" w:hAnsi="宋体" w:eastAsia="宋体" w:cs="宋体"/>
                <w:b/>
                <w:bCs/>
                <w:lang w:val="en-US" w:eastAsia="zh-CN"/>
              </w:rPr>
              <w:t>加油机</w:t>
            </w:r>
          </w:p>
        </w:tc>
      </w:tr>
      <w:tr w14:paraId="73588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52EE5B32">
            <w:pPr>
              <w:bidi w:val="0"/>
              <w:jc w:val="center"/>
              <w:rPr>
                <w:rFonts w:hint="eastAsia" w:ascii="宋体" w:hAnsi="宋体" w:eastAsia="宋体" w:cs="宋体"/>
              </w:rPr>
            </w:pPr>
            <w:r>
              <w:rPr>
                <w:rFonts w:hint="eastAsia" w:ascii="宋体" w:hAnsi="宋体" w:eastAsia="宋体" w:cs="宋体"/>
              </w:rPr>
              <w:t>13</w:t>
            </w:r>
          </w:p>
        </w:tc>
        <w:tc>
          <w:tcPr>
            <w:tcW w:w="3315" w:type="dxa"/>
            <w:vAlign w:val="center"/>
          </w:tcPr>
          <w:p w14:paraId="2FF77856">
            <w:pPr>
              <w:bidi w:val="0"/>
              <w:jc w:val="left"/>
              <w:rPr>
                <w:rFonts w:hint="eastAsia" w:ascii="宋体" w:hAnsi="宋体" w:eastAsia="宋体" w:cs="宋体"/>
              </w:rPr>
            </w:pPr>
            <w:r>
              <w:rPr>
                <w:rFonts w:hint="eastAsia" w:ascii="宋体" w:hAnsi="宋体" w:eastAsia="宋体" w:cs="宋体"/>
              </w:rPr>
              <w:t>加油机不得设在室内。</w:t>
            </w:r>
          </w:p>
        </w:tc>
        <w:tc>
          <w:tcPr>
            <w:tcW w:w="2734" w:type="dxa"/>
            <w:vAlign w:val="center"/>
          </w:tcPr>
          <w:p w14:paraId="4139D2D4">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20809E01">
            <w:pPr>
              <w:bidi w:val="0"/>
              <w:jc w:val="center"/>
              <w:rPr>
                <w:rFonts w:hint="eastAsia" w:ascii="宋体" w:hAnsi="宋体" w:eastAsia="宋体" w:cs="宋体"/>
              </w:rPr>
            </w:pPr>
            <w:r>
              <w:rPr>
                <w:rFonts w:hint="eastAsia" w:ascii="宋体" w:hAnsi="宋体" w:eastAsia="宋体" w:cs="宋体"/>
              </w:rPr>
              <w:t>第6.2.1条</w:t>
            </w:r>
          </w:p>
        </w:tc>
        <w:tc>
          <w:tcPr>
            <w:tcW w:w="2045" w:type="dxa"/>
            <w:vAlign w:val="center"/>
          </w:tcPr>
          <w:p w14:paraId="037AFEE0">
            <w:pPr>
              <w:bidi w:val="0"/>
              <w:jc w:val="center"/>
              <w:rPr>
                <w:rFonts w:hint="eastAsia" w:ascii="宋体" w:hAnsi="宋体" w:eastAsia="宋体" w:cs="宋体"/>
              </w:rPr>
            </w:pPr>
            <w:r>
              <w:rPr>
                <w:rFonts w:hint="eastAsia" w:ascii="宋体" w:hAnsi="宋体" w:eastAsia="宋体" w:cs="宋体"/>
              </w:rPr>
              <w:t>加油机未设置在室内。</w:t>
            </w:r>
          </w:p>
        </w:tc>
        <w:tc>
          <w:tcPr>
            <w:tcW w:w="821" w:type="dxa"/>
            <w:vAlign w:val="center"/>
          </w:tcPr>
          <w:p w14:paraId="04054B34">
            <w:pPr>
              <w:bidi w:val="0"/>
              <w:jc w:val="center"/>
              <w:rPr>
                <w:rFonts w:hint="eastAsia" w:ascii="宋体" w:hAnsi="宋体" w:eastAsia="宋体" w:cs="宋体"/>
              </w:rPr>
            </w:pPr>
            <w:r>
              <w:rPr>
                <w:rFonts w:hint="eastAsia" w:ascii="宋体" w:hAnsi="宋体" w:eastAsia="宋体" w:cs="宋体"/>
              </w:rPr>
              <w:t>符合</w:t>
            </w:r>
          </w:p>
        </w:tc>
      </w:tr>
      <w:tr w14:paraId="602BB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489" w:type="dxa"/>
            <w:vAlign w:val="center"/>
          </w:tcPr>
          <w:p w14:paraId="0FEF0A69">
            <w:pPr>
              <w:bidi w:val="0"/>
              <w:jc w:val="center"/>
              <w:rPr>
                <w:rFonts w:hint="eastAsia" w:ascii="宋体" w:hAnsi="宋体" w:eastAsia="宋体" w:cs="宋体"/>
              </w:rPr>
            </w:pPr>
            <w:r>
              <w:rPr>
                <w:rFonts w:hint="eastAsia" w:ascii="宋体" w:hAnsi="宋体" w:eastAsia="宋体" w:cs="宋体"/>
              </w:rPr>
              <w:t>14</w:t>
            </w:r>
          </w:p>
        </w:tc>
        <w:tc>
          <w:tcPr>
            <w:tcW w:w="3315" w:type="dxa"/>
            <w:vAlign w:val="center"/>
          </w:tcPr>
          <w:p w14:paraId="62AC55F1">
            <w:pPr>
              <w:bidi w:val="0"/>
              <w:jc w:val="left"/>
              <w:rPr>
                <w:rFonts w:hint="eastAsia" w:ascii="宋体" w:hAnsi="宋体" w:eastAsia="宋体" w:cs="宋体"/>
              </w:rPr>
            </w:pPr>
            <w:r>
              <w:rPr>
                <w:rFonts w:hint="eastAsia" w:ascii="宋体" w:hAnsi="宋体" w:eastAsia="宋体" w:cs="宋体"/>
              </w:rPr>
              <w:t>加油枪应采用自封式加油枪，汽油加油机的流量不应大于50L/min。</w:t>
            </w:r>
          </w:p>
        </w:tc>
        <w:tc>
          <w:tcPr>
            <w:tcW w:w="2734" w:type="dxa"/>
            <w:vAlign w:val="center"/>
          </w:tcPr>
          <w:p w14:paraId="001D646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4E6BF8EF">
            <w:pPr>
              <w:bidi w:val="0"/>
              <w:jc w:val="center"/>
              <w:rPr>
                <w:rFonts w:hint="eastAsia" w:ascii="宋体" w:hAnsi="宋体" w:eastAsia="宋体" w:cs="宋体"/>
              </w:rPr>
            </w:pPr>
            <w:r>
              <w:rPr>
                <w:rFonts w:hint="eastAsia" w:ascii="宋体" w:hAnsi="宋体" w:eastAsia="宋体" w:cs="宋体"/>
              </w:rPr>
              <w:t>第6.2.2条</w:t>
            </w:r>
          </w:p>
        </w:tc>
        <w:tc>
          <w:tcPr>
            <w:tcW w:w="2045" w:type="dxa"/>
            <w:vAlign w:val="center"/>
          </w:tcPr>
          <w:p w14:paraId="539BDA7C">
            <w:pPr>
              <w:bidi w:val="0"/>
              <w:jc w:val="center"/>
              <w:rPr>
                <w:rFonts w:hint="eastAsia" w:ascii="宋体" w:hAnsi="宋体" w:eastAsia="宋体" w:cs="宋体"/>
              </w:rPr>
            </w:pPr>
            <w:r>
              <w:rPr>
                <w:rFonts w:hint="eastAsia" w:ascii="宋体" w:hAnsi="宋体" w:eastAsia="宋体" w:cs="宋体"/>
              </w:rPr>
              <w:t>加油枪的流量不大于50</w:t>
            </w:r>
            <w:r>
              <w:rPr>
                <w:rFonts w:hint="eastAsia" w:ascii="宋体" w:hAnsi="宋体" w:eastAsia="宋体" w:cs="宋体"/>
                <w:lang w:val="en-US" w:eastAsia="zh-CN"/>
              </w:rPr>
              <w:t>L/</w:t>
            </w:r>
            <w:r>
              <w:rPr>
                <w:rFonts w:hint="eastAsia" w:ascii="宋体" w:hAnsi="宋体" w:eastAsia="宋体" w:cs="宋体"/>
              </w:rPr>
              <w:t>min。</w:t>
            </w:r>
          </w:p>
        </w:tc>
        <w:tc>
          <w:tcPr>
            <w:tcW w:w="821" w:type="dxa"/>
            <w:vAlign w:val="center"/>
          </w:tcPr>
          <w:p w14:paraId="79A0A3CC">
            <w:pPr>
              <w:bidi w:val="0"/>
              <w:jc w:val="center"/>
              <w:rPr>
                <w:rFonts w:hint="eastAsia" w:ascii="宋体" w:hAnsi="宋体" w:eastAsia="宋体" w:cs="宋体"/>
              </w:rPr>
            </w:pPr>
            <w:r>
              <w:rPr>
                <w:rFonts w:hint="eastAsia" w:ascii="宋体" w:hAnsi="宋体" w:eastAsia="宋体" w:cs="宋体"/>
              </w:rPr>
              <w:t>符合</w:t>
            </w:r>
          </w:p>
        </w:tc>
      </w:tr>
      <w:tr w14:paraId="1A7B0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5F49C488">
            <w:pPr>
              <w:bidi w:val="0"/>
              <w:jc w:val="center"/>
              <w:rPr>
                <w:rFonts w:hint="eastAsia" w:ascii="宋体" w:hAnsi="宋体" w:eastAsia="宋体" w:cs="宋体"/>
              </w:rPr>
            </w:pPr>
            <w:r>
              <w:rPr>
                <w:rFonts w:hint="eastAsia" w:ascii="宋体" w:hAnsi="宋体" w:eastAsia="宋体" w:cs="宋体"/>
              </w:rPr>
              <w:t>15</w:t>
            </w:r>
          </w:p>
        </w:tc>
        <w:tc>
          <w:tcPr>
            <w:tcW w:w="3315" w:type="dxa"/>
            <w:vAlign w:val="center"/>
          </w:tcPr>
          <w:p w14:paraId="6EC6DDB6">
            <w:pPr>
              <w:bidi w:val="0"/>
              <w:jc w:val="left"/>
              <w:rPr>
                <w:rFonts w:hint="eastAsia" w:ascii="宋体" w:hAnsi="宋体" w:eastAsia="宋体" w:cs="宋体"/>
              </w:rPr>
            </w:pPr>
            <w:r>
              <w:rPr>
                <w:rFonts w:hint="eastAsia" w:ascii="宋体" w:hAnsi="宋体" w:eastAsia="宋体" w:cs="宋体"/>
              </w:rPr>
              <w:t>加油软管上宜设安全拉断阀。</w:t>
            </w:r>
          </w:p>
        </w:tc>
        <w:tc>
          <w:tcPr>
            <w:tcW w:w="2734" w:type="dxa"/>
            <w:vAlign w:val="center"/>
          </w:tcPr>
          <w:p w14:paraId="2FB5C4D3">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7DF46074">
            <w:pPr>
              <w:bidi w:val="0"/>
              <w:jc w:val="center"/>
              <w:rPr>
                <w:rFonts w:hint="eastAsia" w:ascii="宋体" w:hAnsi="宋体" w:eastAsia="宋体" w:cs="宋体"/>
              </w:rPr>
            </w:pPr>
            <w:r>
              <w:rPr>
                <w:rFonts w:hint="eastAsia" w:ascii="宋体" w:hAnsi="宋体" w:eastAsia="宋体" w:cs="宋体"/>
              </w:rPr>
              <w:t>第6.2.3条</w:t>
            </w:r>
          </w:p>
        </w:tc>
        <w:tc>
          <w:tcPr>
            <w:tcW w:w="2045" w:type="dxa"/>
            <w:vAlign w:val="center"/>
          </w:tcPr>
          <w:p w14:paraId="781062D1">
            <w:pPr>
              <w:bidi w:val="0"/>
              <w:jc w:val="center"/>
              <w:rPr>
                <w:rFonts w:hint="eastAsia" w:ascii="宋体" w:hAnsi="宋体" w:eastAsia="宋体" w:cs="宋体"/>
              </w:rPr>
            </w:pPr>
            <w:r>
              <w:rPr>
                <w:rFonts w:hint="eastAsia" w:ascii="宋体" w:hAnsi="宋体" w:eastAsia="宋体" w:cs="宋体"/>
              </w:rPr>
              <w:t>加油枪软管上设置有安全拉断阀。</w:t>
            </w:r>
          </w:p>
        </w:tc>
        <w:tc>
          <w:tcPr>
            <w:tcW w:w="821" w:type="dxa"/>
            <w:vAlign w:val="center"/>
          </w:tcPr>
          <w:p w14:paraId="0BAA52AD">
            <w:pPr>
              <w:bidi w:val="0"/>
              <w:jc w:val="center"/>
              <w:rPr>
                <w:rFonts w:hint="eastAsia" w:ascii="宋体" w:hAnsi="宋体" w:eastAsia="宋体" w:cs="宋体"/>
              </w:rPr>
            </w:pPr>
            <w:r>
              <w:rPr>
                <w:rFonts w:hint="eastAsia" w:ascii="宋体" w:hAnsi="宋体" w:eastAsia="宋体" w:cs="宋体"/>
              </w:rPr>
              <w:t>符合</w:t>
            </w:r>
          </w:p>
        </w:tc>
      </w:tr>
      <w:tr w14:paraId="6815C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489" w:type="dxa"/>
            <w:vAlign w:val="center"/>
          </w:tcPr>
          <w:p w14:paraId="06E3692B">
            <w:pPr>
              <w:bidi w:val="0"/>
              <w:jc w:val="center"/>
              <w:rPr>
                <w:rFonts w:hint="eastAsia" w:ascii="宋体" w:hAnsi="宋体" w:eastAsia="宋体" w:cs="宋体"/>
              </w:rPr>
            </w:pPr>
            <w:r>
              <w:rPr>
                <w:rFonts w:hint="eastAsia" w:ascii="宋体" w:hAnsi="宋体" w:eastAsia="宋体" w:cs="宋体"/>
              </w:rPr>
              <w:t>16</w:t>
            </w:r>
          </w:p>
        </w:tc>
        <w:tc>
          <w:tcPr>
            <w:tcW w:w="3315" w:type="dxa"/>
            <w:vAlign w:val="center"/>
          </w:tcPr>
          <w:p w14:paraId="764CE775">
            <w:pPr>
              <w:bidi w:val="0"/>
              <w:jc w:val="left"/>
              <w:rPr>
                <w:rFonts w:hint="eastAsia" w:ascii="宋体" w:hAnsi="宋体" w:eastAsia="宋体" w:cs="宋体"/>
              </w:rPr>
            </w:pPr>
            <w:r>
              <w:rPr>
                <w:rFonts w:hint="eastAsia" w:ascii="宋体" w:hAnsi="宋体" w:eastAsia="宋体" w:cs="宋体"/>
              </w:rPr>
              <w:t>以正压（潜油泵）供油的加油机，底部的供油管道上应设剪切阀，当加油机被撞或起火时，剪切阀应能自动关闭。</w:t>
            </w:r>
          </w:p>
        </w:tc>
        <w:tc>
          <w:tcPr>
            <w:tcW w:w="2734" w:type="dxa"/>
            <w:vAlign w:val="center"/>
          </w:tcPr>
          <w:p w14:paraId="2E7E24DE">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476E1F63">
            <w:pPr>
              <w:bidi w:val="0"/>
              <w:jc w:val="center"/>
              <w:rPr>
                <w:rFonts w:hint="eastAsia" w:ascii="宋体" w:hAnsi="宋体" w:eastAsia="宋体" w:cs="宋体"/>
              </w:rPr>
            </w:pPr>
            <w:r>
              <w:rPr>
                <w:rFonts w:hint="eastAsia" w:ascii="宋体" w:hAnsi="宋体" w:eastAsia="宋体" w:cs="宋体"/>
              </w:rPr>
              <w:t>第6.2.4条</w:t>
            </w:r>
          </w:p>
        </w:tc>
        <w:tc>
          <w:tcPr>
            <w:tcW w:w="2045" w:type="dxa"/>
            <w:vAlign w:val="center"/>
          </w:tcPr>
          <w:p w14:paraId="4795BDB7">
            <w:pPr>
              <w:bidi w:val="0"/>
              <w:jc w:val="center"/>
              <w:rPr>
                <w:rFonts w:hint="eastAsia" w:ascii="宋体" w:hAnsi="宋体" w:eastAsia="宋体" w:cs="宋体"/>
              </w:rPr>
            </w:pPr>
            <w:r>
              <w:rPr>
                <w:rFonts w:hint="eastAsia" w:ascii="宋体" w:hAnsi="宋体" w:eastAsia="宋体" w:cs="宋体"/>
              </w:rPr>
              <w:t>加油机底座设置有剪切阀。</w:t>
            </w:r>
          </w:p>
        </w:tc>
        <w:tc>
          <w:tcPr>
            <w:tcW w:w="821" w:type="dxa"/>
            <w:vAlign w:val="center"/>
          </w:tcPr>
          <w:p w14:paraId="74B13B19">
            <w:pPr>
              <w:bidi w:val="0"/>
              <w:jc w:val="center"/>
              <w:rPr>
                <w:rFonts w:hint="eastAsia" w:ascii="宋体" w:hAnsi="宋体" w:eastAsia="宋体" w:cs="宋体"/>
              </w:rPr>
            </w:pPr>
            <w:r>
              <w:rPr>
                <w:rFonts w:hint="eastAsia" w:ascii="宋体" w:hAnsi="宋体" w:eastAsia="宋体" w:cs="宋体"/>
              </w:rPr>
              <w:t>符合</w:t>
            </w:r>
          </w:p>
        </w:tc>
      </w:tr>
      <w:tr w14:paraId="4243D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489" w:type="dxa"/>
            <w:vAlign w:val="center"/>
          </w:tcPr>
          <w:p w14:paraId="64CF4CAC">
            <w:pPr>
              <w:bidi w:val="0"/>
              <w:jc w:val="center"/>
              <w:rPr>
                <w:rFonts w:hint="eastAsia" w:ascii="宋体" w:hAnsi="宋体" w:eastAsia="宋体" w:cs="宋体"/>
              </w:rPr>
            </w:pPr>
            <w:r>
              <w:rPr>
                <w:rFonts w:hint="eastAsia" w:ascii="宋体" w:hAnsi="宋体" w:eastAsia="宋体" w:cs="宋体"/>
              </w:rPr>
              <w:t>17</w:t>
            </w:r>
          </w:p>
        </w:tc>
        <w:tc>
          <w:tcPr>
            <w:tcW w:w="3315" w:type="dxa"/>
            <w:vAlign w:val="center"/>
          </w:tcPr>
          <w:p w14:paraId="6C44BD3D">
            <w:pPr>
              <w:bidi w:val="0"/>
              <w:jc w:val="left"/>
              <w:rPr>
                <w:rFonts w:hint="eastAsia" w:ascii="宋体" w:hAnsi="宋体" w:eastAsia="宋体" w:cs="宋体"/>
              </w:rPr>
            </w:pPr>
            <w:r>
              <w:rPr>
                <w:rFonts w:hint="eastAsia" w:ascii="宋体" w:hAnsi="宋体" w:eastAsia="宋体" w:cs="宋体"/>
              </w:rPr>
              <w:t>采用一机多油品的加油机时，加油</w:t>
            </w:r>
          </w:p>
          <w:p w14:paraId="7EE18E2F">
            <w:pPr>
              <w:bidi w:val="0"/>
              <w:jc w:val="left"/>
              <w:rPr>
                <w:rFonts w:hint="eastAsia" w:ascii="宋体" w:hAnsi="宋体" w:eastAsia="宋体" w:cs="宋体"/>
              </w:rPr>
            </w:pPr>
            <w:r>
              <w:rPr>
                <w:rFonts w:hint="eastAsia" w:ascii="宋体" w:hAnsi="宋体" w:eastAsia="宋体" w:cs="宋体"/>
              </w:rPr>
              <w:t>机上的放枪位应有各油品的文字标识，加油枪应有颜色标识。</w:t>
            </w:r>
          </w:p>
        </w:tc>
        <w:tc>
          <w:tcPr>
            <w:tcW w:w="2734" w:type="dxa"/>
            <w:vAlign w:val="center"/>
          </w:tcPr>
          <w:p w14:paraId="3A1721C3">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2B483D1D">
            <w:pPr>
              <w:bidi w:val="0"/>
              <w:jc w:val="center"/>
              <w:rPr>
                <w:rFonts w:hint="eastAsia" w:ascii="宋体" w:hAnsi="宋体" w:eastAsia="宋体" w:cs="宋体"/>
              </w:rPr>
            </w:pPr>
            <w:r>
              <w:rPr>
                <w:rFonts w:hint="eastAsia" w:ascii="宋体" w:hAnsi="宋体" w:eastAsia="宋体" w:cs="宋体"/>
              </w:rPr>
              <w:t>第6.2.5条</w:t>
            </w:r>
          </w:p>
        </w:tc>
        <w:tc>
          <w:tcPr>
            <w:tcW w:w="2045" w:type="dxa"/>
            <w:vAlign w:val="center"/>
          </w:tcPr>
          <w:p w14:paraId="7C23BBF5">
            <w:pPr>
              <w:bidi w:val="0"/>
              <w:jc w:val="center"/>
              <w:rPr>
                <w:rFonts w:hint="eastAsia" w:ascii="宋体" w:hAnsi="宋体" w:eastAsia="宋体" w:cs="宋体"/>
              </w:rPr>
            </w:pPr>
            <w:r>
              <w:rPr>
                <w:rFonts w:hint="eastAsia" w:ascii="宋体" w:hAnsi="宋体" w:eastAsia="宋体" w:cs="宋体"/>
              </w:rPr>
              <w:t>加油机上的放枪位有各油品的文字标识，加油枪有颜色标识。</w:t>
            </w:r>
          </w:p>
        </w:tc>
        <w:tc>
          <w:tcPr>
            <w:tcW w:w="821" w:type="dxa"/>
            <w:vAlign w:val="center"/>
          </w:tcPr>
          <w:p w14:paraId="75AA102A">
            <w:pPr>
              <w:bidi w:val="0"/>
              <w:jc w:val="center"/>
              <w:rPr>
                <w:rFonts w:hint="eastAsia" w:ascii="宋体" w:hAnsi="宋体" w:eastAsia="宋体" w:cs="宋体"/>
              </w:rPr>
            </w:pPr>
            <w:r>
              <w:rPr>
                <w:rFonts w:hint="eastAsia" w:ascii="宋体" w:hAnsi="宋体" w:eastAsia="宋体" w:cs="宋体"/>
              </w:rPr>
              <w:t>符合</w:t>
            </w:r>
          </w:p>
        </w:tc>
      </w:tr>
      <w:tr w14:paraId="187C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404" w:type="dxa"/>
            <w:gridSpan w:val="5"/>
            <w:vAlign w:val="center"/>
          </w:tcPr>
          <w:p w14:paraId="37E3A759">
            <w:pPr>
              <w:bidi w:val="0"/>
              <w:jc w:val="center"/>
              <w:rPr>
                <w:rFonts w:hint="eastAsia" w:ascii="宋体" w:hAnsi="宋体" w:eastAsia="宋体" w:cs="宋体"/>
                <w:lang w:val="en-US" w:eastAsia="zh-CN"/>
              </w:rPr>
            </w:pPr>
            <w:r>
              <w:rPr>
                <w:rFonts w:hint="eastAsia" w:ascii="宋体" w:hAnsi="宋体" w:eastAsia="宋体" w:cs="宋体"/>
                <w:b/>
                <w:bCs/>
                <w:lang w:val="en-US" w:eastAsia="zh-CN"/>
              </w:rPr>
              <w:t>工艺管道</w:t>
            </w:r>
          </w:p>
        </w:tc>
      </w:tr>
      <w:tr w14:paraId="7ACFE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489" w:type="dxa"/>
            <w:vAlign w:val="center"/>
          </w:tcPr>
          <w:p w14:paraId="01508390">
            <w:pPr>
              <w:bidi w:val="0"/>
              <w:jc w:val="center"/>
              <w:rPr>
                <w:rFonts w:hint="eastAsia" w:ascii="宋体" w:hAnsi="宋体" w:eastAsia="宋体" w:cs="宋体"/>
              </w:rPr>
            </w:pPr>
            <w:r>
              <w:rPr>
                <w:rFonts w:hint="eastAsia" w:ascii="宋体" w:hAnsi="宋体" w:eastAsia="宋体" w:cs="宋体"/>
              </w:rPr>
              <w:t>18</w:t>
            </w:r>
          </w:p>
        </w:tc>
        <w:tc>
          <w:tcPr>
            <w:tcW w:w="3315" w:type="dxa"/>
            <w:vAlign w:val="center"/>
          </w:tcPr>
          <w:p w14:paraId="07951839">
            <w:pPr>
              <w:bidi w:val="0"/>
              <w:jc w:val="left"/>
              <w:rPr>
                <w:rFonts w:hint="eastAsia" w:ascii="宋体" w:hAnsi="宋体" w:eastAsia="宋体" w:cs="宋体"/>
              </w:rPr>
            </w:pPr>
            <w:r>
              <w:rPr>
                <w:rFonts w:hint="eastAsia" w:ascii="宋体" w:hAnsi="宋体" w:eastAsia="宋体" w:cs="宋体"/>
              </w:rPr>
              <w:t>汽油和柴油油罐车卸油必须采用密闭卸油方式。汽油油罐车应具有卸油油气回收系统。</w:t>
            </w:r>
          </w:p>
        </w:tc>
        <w:tc>
          <w:tcPr>
            <w:tcW w:w="2734" w:type="dxa"/>
            <w:vAlign w:val="center"/>
          </w:tcPr>
          <w:p w14:paraId="41E47D7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638468CF">
            <w:pPr>
              <w:bidi w:val="0"/>
              <w:jc w:val="center"/>
              <w:rPr>
                <w:rFonts w:hint="eastAsia" w:ascii="宋体" w:hAnsi="宋体" w:eastAsia="宋体" w:cs="宋体"/>
              </w:rPr>
            </w:pPr>
            <w:r>
              <w:rPr>
                <w:rFonts w:hint="eastAsia" w:ascii="宋体" w:hAnsi="宋体" w:eastAsia="宋体" w:cs="宋体"/>
              </w:rPr>
              <w:t>第6.3.1条</w:t>
            </w:r>
          </w:p>
        </w:tc>
        <w:tc>
          <w:tcPr>
            <w:tcW w:w="2045" w:type="dxa"/>
            <w:vAlign w:val="center"/>
          </w:tcPr>
          <w:p w14:paraId="4DBB3F8D">
            <w:pPr>
              <w:bidi w:val="0"/>
              <w:jc w:val="center"/>
              <w:rPr>
                <w:rFonts w:hint="eastAsia" w:ascii="宋体" w:hAnsi="宋体" w:eastAsia="宋体" w:cs="宋体"/>
              </w:rPr>
            </w:pPr>
            <w:r>
              <w:rPr>
                <w:rFonts w:hint="eastAsia" w:ascii="宋体" w:hAnsi="宋体" w:eastAsia="宋体" w:cs="宋体"/>
              </w:rPr>
              <w:t>采用密闭卸油。</w:t>
            </w:r>
          </w:p>
        </w:tc>
        <w:tc>
          <w:tcPr>
            <w:tcW w:w="821" w:type="dxa"/>
            <w:vAlign w:val="center"/>
          </w:tcPr>
          <w:p w14:paraId="74E1612F">
            <w:pPr>
              <w:bidi w:val="0"/>
              <w:jc w:val="center"/>
              <w:rPr>
                <w:rFonts w:hint="eastAsia" w:ascii="宋体" w:hAnsi="宋体" w:eastAsia="宋体" w:cs="宋体"/>
              </w:rPr>
            </w:pPr>
            <w:r>
              <w:rPr>
                <w:rFonts w:hint="eastAsia" w:ascii="宋体" w:hAnsi="宋体" w:eastAsia="宋体" w:cs="宋体"/>
              </w:rPr>
              <w:t>符合</w:t>
            </w:r>
          </w:p>
        </w:tc>
      </w:tr>
      <w:tr w14:paraId="26AB6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46951214">
            <w:pPr>
              <w:bidi w:val="0"/>
              <w:jc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9</w:t>
            </w:r>
          </w:p>
        </w:tc>
        <w:tc>
          <w:tcPr>
            <w:tcW w:w="3315" w:type="dxa"/>
            <w:vAlign w:val="center"/>
          </w:tcPr>
          <w:p w14:paraId="2DCE30BF">
            <w:pPr>
              <w:bidi w:val="0"/>
              <w:jc w:val="left"/>
              <w:rPr>
                <w:rFonts w:hint="eastAsia" w:ascii="宋体" w:hAnsi="宋体" w:eastAsia="宋体" w:cs="宋体"/>
              </w:rPr>
            </w:pPr>
            <w:r>
              <w:rPr>
                <w:rFonts w:hint="eastAsia" w:ascii="宋体" w:hAnsi="宋体" w:eastAsia="宋体" w:cs="宋体"/>
              </w:rPr>
              <w:t>每个油罐应各自设置卸油管道和</w:t>
            </w:r>
          </w:p>
          <w:p w14:paraId="7B38E4FF">
            <w:pPr>
              <w:bidi w:val="0"/>
              <w:jc w:val="left"/>
              <w:rPr>
                <w:rFonts w:hint="eastAsia" w:ascii="宋体" w:hAnsi="宋体" w:eastAsia="宋体" w:cs="宋体"/>
              </w:rPr>
            </w:pPr>
            <w:r>
              <w:rPr>
                <w:rFonts w:hint="eastAsia" w:ascii="宋体" w:hAnsi="宋体" w:eastAsia="宋体" w:cs="宋体"/>
              </w:rPr>
              <w:t>卸油接口。各卸油接口及油气回收接口应有明显的标识。</w:t>
            </w:r>
          </w:p>
        </w:tc>
        <w:tc>
          <w:tcPr>
            <w:tcW w:w="2734" w:type="dxa"/>
            <w:vAlign w:val="center"/>
          </w:tcPr>
          <w:p w14:paraId="7209548C">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5B416A07">
            <w:pPr>
              <w:bidi w:val="0"/>
              <w:jc w:val="center"/>
              <w:rPr>
                <w:rFonts w:hint="eastAsia" w:ascii="宋体" w:hAnsi="宋体" w:eastAsia="宋体" w:cs="宋体"/>
              </w:rPr>
            </w:pPr>
            <w:r>
              <w:rPr>
                <w:rFonts w:hint="eastAsia" w:ascii="宋体" w:hAnsi="宋体" w:eastAsia="宋体" w:cs="宋体"/>
              </w:rPr>
              <w:t>第6.3.2条</w:t>
            </w:r>
          </w:p>
        </w:tc>
        <w:tc>
          <w:tcPr>
            <w:tcW w:w="2045" w:type="dxa"/>
            <w:vAlign w:val="center"/>
          </w:tcPr>
          <w:p w14:paraId="64401B00">
            <w:pPr>
              <w:bidi w:val="0"/>
              <w:jc w:val="center"/>
              <w:rPr>
                <w:rFonts w:hint="eastAsia" w:ascii="宋体" w:hAnsi="宋体" w:eastAsia="宋体" w:cs="宋体"/>
              </w:rPr>
            </w:pPr>
            <w:r>
              <w:rPr>
                <w:rFonts w:hint="eastAsia" w:ascii="宋体" w:hAnsi="宋体" w:eastAsia="宋体" w:cs="宋体"/>
              </w:rPr>
              <w:t>各油罐单独设置卸油管道，以及油气回收接口处设有标识。</w:t>
            </w:r>
          </w:p>
        </w:tc>
        <w:tc>
          <w:tcPr>
            <w:tcW w:w="821" w:type="dxa"/>
            <w:vAlign w:val="center"/>
          </w:tcPr>
          <w:p w14:paraId="08B22D31">
            <w:pPr>
              <w:bidi w:val="0"/>
              <w:jc w:val="center"/>
              <w:rPr>
                <w:rFonts w:hint="eastAsia" w:ascii="宋体" w:hAnsi="宋体" w:eastAsia="宋体" w:cs="宋体"/>
              </w:rPr>
            </w:pPr>
            <w:r>
              <w:rPr>
                <w:rFonts w:hint="eastAsia" w:ascii="宋体" w:hAnsi="宋体" w:eastAsia="宋体" w:cs="宋体"/>
              </w:rPr>
              <w:t>符合</w:t>
            </w:r>
          </w:p>
        </w:tc>
      </w:tr>
      <w:tr w14:paraId="466A3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63640A23">
            <w:pPr>
              <w:bidi w:val="0"/>
              <w:jc w:val="center"/>
              <w:rPr>
                <w:rFonts w:hint="eastAsia" w:ascii="宋体" w:hAnsi="宋体" w:eastAsia="宋体" w:cs="宋体"/>
              </w:rPr>
            </w:pPr>
          </w:p>
          <w:p w14:paraId="1290EB13">
            <w:pPr>
              <w:bidi w:val="0"/>
              <w:jc w:val="center"/>
              <w:rPr>
                <w:rFonts w:hint="eastAsia" w:ascii="宋体" w:hAnsi="宋体" w:eastAsia="宋体" w:cs="宋体"/>
              </w:rPr>
            </w:pPr>
            <w:r>
              <w:rPr>
                <w:rFonts w:hint="eastAsia" w:ascii="宋体" w:hAnsi="宋体" w:eastAsia="宋体" w:cs="宋体"/>
              </w:rPr>
              <w:t>20</w:t>
            </w:r>
          </w:p>
        </w:tc>
        <w:tc>
          <w:tcPr>
            <w:tcW w:w="3315" w:type="dxa"/>
            <w:vAlign w:val="center"/>
          </w:tcPr>
          <w:p w14:paraId="28184CCC">
            <w:pPr>
              <w:bidi w:val="0"/>
              <w:jc w:val="left"/>
              <w:rPr>
                <w:rFonts w:hint="eastAsia" w:ascii="宋体" w:hAnsi="宋体" w:eastAsia="宋体" w:cs="宋体"/>
              </w:rPr>
            </w:pPr>
            <w:r>
              <w:rPr>
                <w:rFonts w:hint="eastAsia" w:ascii="宋体" w:hAnsi="宋体" w:eastAsia="宋体" w:cs="宋体"/>
              </w:rPr>
              <w:t>卸油接口应装设快速接头及密封盖。</w:t>
            </w:r>
          </w:p>
        </w:tc>
        <w:tc>
          <w:tcPr>
            <w:tcW w:w="2734" w:type="dxa"/>
            <w:vAlign w:val="center"/>
          </w:tcPr>
          <w:p w14:paraId="2BEE33B9">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0A7D89B9">
            <w:pPr>
              <w:bidi w:val="0"/>
              <w:jc w:val="center"/>
              <w:rPr>
                <w:rFonts w:hint="eastAsia" w:ascii="宋体" w:hAnsi="宋体" w:eastAsia="宋体" w:cs="宋体"/>
              </w:rPr>
            </w:pPr>
            <w:r>
              <w:rPr>
                <w:rFonts w:hint="eastAsia" w:ascii="宋体" w:hAnsi="宋体" w:eastAsia="宋体" w:cs="宋体"/>
              </w:rPr>
              <w:t>6.3.3条</w:t>
            </w:r>
          </w:p>
        </w:tc>
        <w:tc>
          <w:tcPr>
            <w:tcW w:w="2045" w:type="dxa"/>
            <w:vAlign w:val="center"/>
          </w:tcPr>
          <w:p w14:paraId="604AB895">
            <w:pPr>
              <w:bidi w:val="0"/>
              <w:jc w:val="center"/>
              <w:rPr>
                <w:rFonts w:hint="eastAsia" w:ascii="宋体" w:hAnsi="宋体" w:eastAsia="宋体" w:cs="宋体"/>
              </w:rPr>
            </w:pPr>
            <w:r>
              <w:rPr>
                <w:rFonts w:hint="eastAsia" w:ascii="宋体" w:hAnsi="宋体" w:eastAsia="宋体" w:cs="宋体"/>
              </w:rPr>
              <w:t>卸油接口装设快速接头及密封盖。</w:t>
            </w:r>
          </w:p>
        </w:tc>
        <w:tc>
          <w:tcPr>
            <w:tcW w:w="821" w:type="dxa"/>
            <w:vAlign w:val="center"/>
          </w:tcPr>
          <w:p w14:paraId="5CA617F2">
            <w:pPr>
              <w:bidi w:val="0"/>
              <w:jc w:val="center"/>
              <w:rPr>
                <w:rFonts w:hint="eastAsia" w:ascii="宋体" w:hAnsi="宋体" w:eastAsia="宋体" w:cs="宋体"/>
              </w:rPr>
            </w:pPr>
            <w:r>
              <w:rPr>
                <w:rFonts w:hint="eastAsia" w:ascii="宋体" w:hAnsi="宋体" w:eastAsia="宋体" w:cs="宋体"/>
              </w:rPr>
              <w:t>符合</w:t>
            </w:r>
          </w:p>
        </w:tc>
      </w:tr>
      <w:tr w14:paraId="659C7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489" w:type="dxa"/>
            <w:vAlign w:val="center"/>
          </w:tcPr>
          <w:p w14:paraId="12BE1275">
            <w:pPr>
              <w:bidi w:val="0"/>
              <w:jc w:val="center"/>
              <w:rPr>
                <w:rFonts w:hint="eastAsia" w:ascii="宋体" w:hAnsi="宋体" w:eastAsia="宋体" w:cs="宋体"/>
              </w:rPr>
            </w:pPr>
          </w:p>
          <w:p w14:paraId="735A9CB1">
            <w:pPr>
              <w:bidi w:val="0"/>
              <w:jc w:val="center"/>
              <w:rPr>
                <w:rFonts w:hint="eastAsia" w:ascii="宋体" w:hAnsi="宋体" w:eastAsia="宋体" w:cs="宋体"/>
              </w:rPr>
            </w:pPr>
            <w:r>
              <w:rPr>
                <w:rFonts w:hint="eastAsia" w:ascii="宋体" w:hAnsi="宋体" w:eastAsia="宋体" w:cs="宋体"/>
              </w:rPr>
              <w:t>21</w:t>
            </w:r>
          </w:p>
        </w:tc>
        <w:tc>
          <w:tcPr>
            <w:tcW w:w="3315" w:type="dxa"/>
            <w:vAlign w:val="center"/>
          </w:tcPr>
          <w:p w14:paraId="53A52D5C">
            <w:pPr>
              <w:bidi w:val="0"/>
              <w:jc w:val="left"/>
              <w:rPr>
                <w:rFonts w:hint="eastAsia" w:ascii="宋体" w:hAnsi="宋体" w:eastAsia="宋体" w:cs="宋体"/>
              </w:rPr>
            </w:pPr>
            <w:r>
              <w:rPr>
                <w:rFonts w:hint="eastAsia" w:ascii="宋体" w:hAnsi="宋体" w:eastAsia="宋体" w:cs="宋体"/>
              </w:rPr>
              <w:t>加油站卸油油气回收系统的设计应符合下列规定：汽油罐车向站内油罐卸油应采用平衡式密闭油气回收</w:t>
            </w:r>
            <w:r>
              <w:rPr>
                <w:rFonts w:hint="eastAsia" w:ascii="宋体" w:hAnsi="宋体" w:eastAsia="宋体" w:cs="宋体"/>
                <w:lang w:eastAsia="zh-CN"/>
              </w:rPr>
              <w:t>系统</w:t>
            </w:r>
            <w:r>
              <w:rPr>
                <w:rFonts w:hint="eastAsia" w:ascii="宋体" w:hAnsi="宋体" w:eastAsia="宋体" w:cs="宋体"/>
              </w:rPr>
              <w:t>。</w:t>
            </w:r>
          </w:p>
        </w:tc>
        <w:tc>
          <w:tcPr>
            <w:tcW w:w="2734" w:type="dxa"/>
            <w:vAlign w:val="center"/>
          </w:tcPr>
          <w:p w14:paraId="2F6EBC3D">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1BFD185F">
            <w:pPr>
              <w:bidi w:val="0"/>
              <w:jc w:val="center"/>
              <w:rPr>
                <w:rFonts w:hint="eastAsia" w:ascii="宋体" w:hAnsi="宋体" w:eastAsia="宋体" w:cs="宋体"/>
              </w:rPr>
            </w:pPr>
            <w:r>
              <w:rPr>
                <w:rFonts w:hint="eastAsia" w:ascii="宋体" w:hAnsi="宋体" w:eastAsia="宋体" w:cs="宋体"/>
              </w:rPr>
              <w:t>6.3.4条</w:t>
            </w:r>
          </w:p>
        </w:tc>
        <w:tc>
          <w:tcPr>
            <w:tcW w:w="2045" w:type="dxa"/>
            <w:vAlign w:val="center"/>
          </w:tcPr>
          <w:p w14:paraId="330995DE">
            <w:pPr>
              <w:bidi w:val="0"/>
              <w:jc w:val="center"/>
              <w:rPr>
                <w:rFonts w:hint="eastAsia" w:ascii="宋体" w:hAnsi="宋体" w:eastAsia="宋体" w:cs="宋体"/>
              </w:rPr>
            </w:pPr>
            <w:r>
              <w:rPr>
                <w:rFonts w:hint="eastAsia" w:ascii="宋体" w:hAnsi="宋体" w:eastAsia="宋体" w:cs="宋体"/>
              </w:rPr>
              <w:t>根据施工资料，加油</w:t>
            </w:r>
          </w:p>
          <w:p w14:paraId="4E318042">
            <w:pPr>
              <w:bidi w:val="0"/>
              <w:jc w:val="center"/>
              <w:rPr>
                <w:rFonts w:hint="eastAsia" w:ascii="宋体" w:hAnsi="宋体" w:eastAsia="宋体" w:cs="宋体"/>
              </w:rPr>
            </w:pPr>
            <w:r>
              <w:rPr>
                <w:rFonts w:hint="eastAsia" w:ascii="宋体" w:hAnsi="宋体" w:eastAsia="宋体" w:cs="宋体"/>
              </w:rPr>
              <w:t>站卸油油气回收系统符合要求。</w:t>
            </w:r>
          </w:p>
        </w:tc>
        <w:tc>
          <w:tcPr>
            <w:tcW w:w="821" w:type="dxa"/>
            <w:vAlign w:val="center"/>
          </w:tcPr>
          <w:p w14:paraId="3AD0DE95">
            <w:pPr>
              <w:bidi w:val="0"/>
              <w:jc w:val="center"/>
              <w:rPr>
                <w:rFonts w:hint="eastAsia" w:ascii="宋体" w:hAnsi="宋体" w:eastAsia="宋体" w:cs="宋体"/>
              </w:rPr>
            </w:pPr>
          </w:p>
          <w:p w14:paraId="6F7AB3A7">
            <w:pPr>
              <w:bidi w:val="0"/>
              <w:jc w:val="center"/>
              <w:rPr>
                <w:rFonts w:hint="eastAsia" w:ascii="宋体" w:hAnsi="宋体" w:eastAsia="宋体" w:cs="宋体"/>
              </w:rPr>
            </w:pPr>
            <w:r>
              <w:rPr>
                <w:rFonts w:hint="eastAsia" w:ascii="宋体" w:hAnsi="宋体" w:eastAsia="宋体" w:cs="宋体"/>
              </w:rPr>
              <w:t>符合</w:t>
            </w:r>
          </w:p>
        </w:tc>
      </w:tr>
      <w:tr w14:paraId="57EC5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489" w:type="dxa"/>
            <w:vAlign w:val="center"/>
          </w:tcPr>
          <w:p w14:paraId="3BB8645F">
            <w:pPr>
              <w:bidi w:val="0"/>
              <w:jc w:val="center"/>
              <w:rPr>
                <w:rFonts w:hint="eastAsia" w:ascii="宋体" w:hAnsi="宋体" w:eastAsia="宋体" w:cs="宋体"/>
              </w:rPr>
            </w:pPr>
          </w:p>
          <w:p w14:paraId="58F134BB">
            <w:pPr>
              <w:bidi w:val="0"/>
              <w:jc w:val="center"/>
              <w:rPr>
                <w:rFonts w:hint="eastAsia" w:ascii="宋体" w:hAnsi="宋体" w:eastAsia="宋体" w:cs="宋体"/>
              </w:rPr>
            </w:pPr>
          </w:p>
          <w:p w14:paraId="513B7735">
            <w:pPr>
              <w:bidi w:val="0"/>
              <w:jc w:val="center"/>
              <w:rPr>
                <w:rFonts w:hint="eastAsia" w:ascii="宋体" w:hAnsi="宋体" w:eastAsia="宋体" w:cs="宋体"/>
              </w:rPr>
            </w:pPr>
            <w:r>
              <w:rPr>
                <w:rFonts w:hint="eastAsia" w:ascii="宋体" w:hAnsi="宋体" w:eastAsia="宋体" w:cs="宋体"/>
              </w:rPr>
              <w:t>22</w:t>
            </w:r>
          </w:p>
        </w:tc>
        <w:tc>
          <w:tcPr>
            <w:tcW w:w="3315" w:type="dxa"/>
            <w:vAlign w:val="center"/>
          </w:tcPr>
          <w:p w14:paraId="643CFDF6">
            <w:pPr>
              <w:bidi w:val="0"/>
              <w:jc w:val="left"/>
              <w:rPr>
                <w:rFonts w:hint="eastAsia" w:ascii="宋体" w:hAnsi="宋体" w:eastAsia="宋体" w:cs="宋体"/>
              </w:rPr>
            </w:pPr>
            <w:r>
              <w:rPr>
                <w:rFonts w:hint="eastAsia" w:ascii="宋体" w:hAnsi="宋体" w:eastAsia="宋体" w:cs="宋体"/>
              </w:rPr>
              <w:t>加油站宜采用油罐装设潜油泵的一泵供多机（枪）的加油工艺。采用自吸式加油机时，每台加油机应按加油品种单独设置进油管和罐内底阀。</w:t>
            </w:r>
          </w:p>
        </w:tc>
        <w:tc>
          <w:tcPr>
            <w:tcW w:w="2734" w:type="dxa"/>
            <w:vAlign w:val="center"/>
          </w:tcPr>
          <w:p w14:paraId="36BE4B49">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7667B241">
            <w:pPr>
              <w:bidi w:val="0"/>
              <w:jc w:val="center"/>
              <w:rPr>
                <w:rFonts w:hint="eastAsia" w:ascii="宋体" w:hAnsi="宋体" w:eastAsia="宋体" w:cs="宋体"/>
              </w:rPr>
            </w:pPr>
            <w:r>
              <w:rPr>
                <w:rFonts w:hint="eastAsia" w:ascii="宋体" w:hAnsi="宋体" w:eastAsia="宋体" w:cs="宋体"/>
              </w:rPr>
              <w:t>6.3.5条</w:t>
            </w:r>
          </w:p>
        </w:tc>
        <w:tc>
          <w:tcPr>
            <w:tcW w:w="2045" w:type="dxa"/>
            <w:vAlign w:val="center"/>
          </w:tcPr>
          <w:p w14:paraId="57A18FC8">
            <w:pPr>
              <w:bidi w:val="0"/>
              <w:jc w:val="center"/>
              <w:rPr>
                <w:rFonts w:hint="eastAsia" w:ascii="宋体" w:hAnsi="宋体" w:eastAsia="宋体" w:cs="宋体"/>
              </w:rPr>
            </w:pPr>
            <w:r>
              <w:rPr>
                <w:rFonts w:hint="eastAsia" w:ascii="宋体" w:hAnsi="宋体" w:eastAsia="宋体" w:cs="宋体"/>
              </w:rPr>
              <w:t>加油站采用油罐装设潜油泵的一泵供多机（枪）的加油工艺。</w:t>
            </w:r>
          </w:p>
        </w:tc>
        <w:tc>
          <w:tcPr>
            <w:tcW w:w="821" w:type="dxa"/>
            <w:vAlign w:val="center"/>
          </w:tcPr>
          <w:p w14:paraId="1D912F0D">
            <w:pPr>
              <w:bidi w:val="0"/>
              <w:jc w:val="center"/>
              <w:rPr>
                <w:rFonts w:hint="eastAsia" w:ascii="宋体" w:hAnsi="宋体" w:eastAsia="宋体" w:cs="宋体"/>
              </w:rPr>
            </w:pPr>
          </w:p>
          <w:p w14:paraId="3141469B">
            <w:pPr>
              <w:bidi w:val="0"/>
              <w:jc w:val="center"/>
              <w:rPr>
                <w:rFonts w:hint="eastAsia" w:ascii="宋体" w:hAnsi="宋体" w:eastAsia="宋体" w:cs="宋体"/>
              </w:rPr>
            </w:pPr>
          </w:p>
          <w:p w14:paraId="587C5BF5">
            <w:pPr>
              <w:bidi w:val="0"/>
              <w:jc w:val="center"/>
              <w:rPr>
                <w:rFonts w:hint="eastAsia" w:ascii="宋体" w:hAnsi="宋体" w:eastAsia="宋体" w:cs="宋体"/>
              </w:rPr>
            </w:pPr>
            <w:r>
              <w:rPr>
                <w:rFonts w:hint="eastAsia" w:ascii="宋体" w:hAnsi="宋体" w:eastAsia="宋体" w:cs="宋体"/>
              </w:rPr>
              <w:t>符合</w:t>
            </w:r>
          </w:p>
        </w:tc>
      </w:tr>
      <w:tr w14:paraId="59058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89" w:type="dxa"/>
            <w:vAlign w:val="center"/>
          </w:tcPr>
          <w:p w14:paraId="2CC894CC">
            <w:pPr>
              <w:bidi w:val="0"/>
              <w:jc w:val="center"/>
              <w:rPr>
                <w:rFonts w:hint="eastAsia" w:ascii="宋体" w:hAnsi="宋体" w:eastAsia="宋体" w:cs="宋体"/>
              </w:rPr>
            </w:pPr>
          </w:p>
          <w:p w14:paraId="18AE5848">
            <w:pPr>
              <w:bidi w:val="0"/>
              <w:jc w:val="center"/>
              <w:rPr>
                <w:rFonts w:hint="eastAsia" w:ascii="宋体" w:hAnsi="宋体" w:eastAsia="宋体" w:cs="宋体"/>
              </w:rPr>
            </w:pPr>
            <w:r>
              <w:rPr>
                <w:rFonts w:hint="eastAsia" w:ascii="宋体" w:hAnsi="宋体" w:eastAsia="宋体" w:cs="宋体"/>
              </w:rPr>
              <w:t>23</w:t>
            </w:r>
          </w:p>
        </w:tc>
        <w:tc>
          <w:tcPr>
            <w:tcW w:w="3315" w:type="dxa"/>
            <w:vAlign w:val="center"/>
          </w:tcPr>
          <w:p w14:paraId="3CFAF21F">
            <w:pPr>
              <w:bidi w:val="0"/>
              <w:jc w:val="left"/>
              <w:rPr>
                <w:rFonts w:hint="eastAsia" w:ascii="宋体" w:hAnsi="宋体" w:eastAsia="宋体" w:cs="宋体"/>
              </w:rPr>
            </w:pPr>
            <w:r>
              <w:rPr>
                <w:rFonts w:hint="eastAsia" w:ascii="宋体" w:hAnsi="宋体" w:eastAsia="宋体" w:cs="宋体"/>
              </w:rPr>
              <w:t>加油站应采用加油油气回收系统。</w:t>
            </w:r>
          </w:p>
        </w:tc>
        <w:tc>
          <w:tcPr>
            <w:tcW w:w="2734" w:type="dxa"/>
            <w:vAlign w:val="center"/>
          </w:tcPr>
          <w:p w14:paraId="7CA7B276">
            <w:pPr>
              <w:bidi w:val="0"/>
              <w:jc w:val="center"/>
              <w:rPr>
                <w:rFonts w:hint="eastAsia" w:ascii="宋体" w:hAnsi="宋体" w:eastAsia="宋体" w:cs="宋体"/>
              </w:rPr>
            </w:pPr>
            <w:r>
              <w:rPr>
                <w:rFonts w:hint="eastAsia" w:ascii="宋体" w:hAnsi="宋体" w:eastAsia="宋体" w:cs="宋体"/>
              </w:rPr>
              <w:t>《汽车加油加气加氢站技术标准》（GB50156-2021）第</w:t>
            </w:r>
          </w:p>
          <w:p w14:paraId="7A6C0CFF">
            <w:pPr>
              <w:bidi w:val="0"/>
              <w:jc w:val="center"/>
              <w:rPr>
                <w:rFonts w:hint="eastAsia" w:ascii="宋体" w:hAnsi="宋体" w:eastAsia="宋体" w:cs="宋体"/>
              </w:rPr>
            </w:pPr>
            <w:r>
              <w:rPr>
                <w:rFonts w:hint="eastAsia" w:ascii="宋体" w:hAnsi="宋体" w:eastAsia="宋体" w:cs="宋体"/>
              </w:rPr>
              <w:t>6.3.6条</w:t>
            </w:r>
          </w:p>
        </w:tc>
        <w:tc>
          <w:tcPr>
            <w:tcW w:w="2045" w:type="dxa"/>
            <w:vAlign w:val="center"/>
          </w:tcPr>
          <w:p w14:paraId="09F70F7C">
            <w:pPr>
              <w:bidi w:val="0"/>
              <w:jc w:val="center"/>
              <w:rPr>
                <w:rFonts w:hint="eastAsia" w:ascii="宋体" w:hAnsi="宋体" w:eastAsia="宋体" w:cs="宋体"/>
              </w:rPr>
            </w:pPr>
            <w:r>
              <w:rPr>
                <w:rFonts w:hint="eastAsia" w:ascii="宋体" w:hAnsi="宋体" w:eastAsia="宋体" w:cs="宋体"/>
              </w:rPr>
              <w:t>加油站采用加油油气回收系统。</w:t>
            </w:r>
          </w:p>
        </w:tc>
        <w:tc>
          <w:tcPr>
            <w:tcW w:w="821" w:type="dxa"/>
            <w:vAlign w:val="center"/>
          </w:tcPr>
          <w:p w14:paraId="74410B0E">
            <w:pPr>
              <w:bidi w:val="0"/>
              <w:jc w:val="center"/>
              <w:rPr>
                <w:rFonts w:hint="eastAsia" w:ascii="宋体" w:hAnsi="宋体" w:eastAsia="宋体" w:cs="宋体"/>
              </w:rPr>
            </w:pPr>
            <w:r>
              <w:rPr>
                <w:rFonts w:hint="eastAsia" w:ascii="宋体" w:hAnsi="宋体" w:eastAsia="宋体" w:cs="宋体"/>
              </w:rPr>
              <w:t>符合</w:t>
            </w:r>
          </w:p>
        </w:tc>
      </w:tr>
      <w:tr w14:paraId="00F78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489" w:type="dxa"/>
            <w:vAlign w:val="center"/>
          </w:tcPr>
          <w:p w14:paraId="2C804FC5">
            <w:pPr>
              <w:bidi w:val="0"/>
              <w:jc w:val="both"/>
              <w:rPr>
                <w:rFonts w:hint="eastAsia" w:ascii="宋体" w:hAnsi="宋体" w:eastAsia="宋体" w:cs="宋体"/>
              </w:rPr>
            </w:pPr>
            <w:r>
              <w:rPr>
                <w:rFonts w:hint="eastAsia" w:ascii="宋体" w:hAnsi="宋体" w:eastAsia="宋体" w:cs="宋体"/>
              </w:rPr>
              <w:t>24</w:t>
            </w:r>
          </w:p>
        </w:tc>
        <w:tc>
          <w:tcPr>
            <w:tcW w:w="3315" w:type="dxa"/>
            <w:vAlign w:val="center"/>
          </w:tcPr>
          <w:p w14:paraId="2E9EB9C4">
            <w:pPr>
              <w:bidi w:val="0"/>
              <w:jc w:val="left"/>
              <w:rPr>
                <w:rFonts w:hint="eastAsia" w:ascii="宋体" w:hAnsi="宋体" w:eastAsia="宋体" w:cs="宋体"/>
              </w:rPr>
            </w:pPr>
            <w:r>
              <w:rPr>
                <w:rFonts w:hint="eastAsia" w:ascii="宋体" w:hAnsi="宋体" w:eastAsia="宋体" w:cs="宋体"/>
              </w:rPr>
              <w:t>加油油气回收系统的设计应符合下列规定：</w:t>
            </w:r>
          </w:p>
          <w:p w14:paraId="7C5B4761">
            <w:pPr>
              <w:bidi w:val="0"/>
              <w:jc w:val="left"/>
              <w:rPr>
                <w:rFonts w:hint="eastAsia" w:ascii="宋体" w:hAnsi="宋体" w:eastAsia="宋体" w:cs="宋体"/>
              </w:rPr>
            </w:pPr>
            <w:r>
              <w:rPr>
                <w:rFonts w:hint="eastAsia" w:ascii="宋体" w:hAnsi="宋体" w:eastAsia="宋体" w:cs="宋体"/>
              </w:rPr>
              <w:t>（1）应采用真空辅助式油气回收系统；</w:t>
            </w:r>
          </w:p>
          <w:p w14:paraId="40A4D659">
            <w:pPr>
              <w:bidi w:val="0"/>
              <w:jc w:val="left"/>
              <w:rPr>
                <w:rFonts w:hint="eastAsia" w:ascii="宋体" w:hAnsi="宋体" w:eastAsia="宋体" w:cs="宋体"/>
              </w:rPr>
            </w:pPr>
            <w:r>
              <w:rPr>
                <w:rFonts w:hint="eastAsia" w:ascii="宋体" w:hAnsi="宋体" w:eastAsia="宋体" w:cs="宋体"/>
              </w:rPr>
              <w:t>（2）汽油加油机与油罐之间应设油气回收管道，多台汽油加油机可共用1根油气回收主管，油气回收主管的公称直径不应小于50mm；（3）加油油气回收系统应采取防止油气反向流至加油枪的措施。</w:t>
            </w:r>
          </w:p>
          <w:p w14:paraId="76DD731E">
            <w:pPr>
              <w:bidi w:val="0"/>
              <w:jc w:val="left"/>
              <w:rPr>
                <w:rFonts w:hint="eastAsia" w:ascii="宋体" w:hAnsi="宋体" w:eastAsia="宋体" w:cs="宋体"/>
              </w:rPr>
            </w:pPr>
            <w:r>
              <w:rPr>
                <w:rFonts w:hint="eastAsia" w:ascii="宋体" w:hAnsi="宋体" w:eastAsia="宋体" w:cs="宋体"/>
              </w:rPr>
              <w:t>（4）加油机应具备回收油气功能，其气液比宜设定为1.0～1.2；</w:t>
            </w:r>
          </w:p>
          <w:p w14:paraId="4CE2827E">
            <w:pPr>
              <w:bidi w:val="0"/>
              <w:jc w:val="left"/>
              <w:rPr>
                <w:rFonts w:hint="eastAsia" w:ascii="宋体" w:hAnsi="宋体" w:eastAsia="宋体" w:cs="宋体"/>
              </w:rPr>
            </w:pPr>
            <w:r>
              <w:rPr>
                <w:rFonts w:hint="eastAsia" w:ascii="宋体" w:hAnsi="宋体" w:eastAsia="宋体" w:cs="宋体"/>
              </w:rPr>
              <w:t>（5）在加油机底部与油气回收立管的连接处，应安装一个用于检测液阻和系统密闭性的丝接三通，其旁通短管上应设公称直径为25mm的球阀及丝堵。</w:t>
            </w:r>
          </w:p>
        </w:tc>
        <w:tc>
          <w:tcPr>
            <w:tcW w:w="2734" w:type="dxa"/>
            <w:vAlign w:val="center"/>
          </w:tcPr>
          <w:p w14:paraId="5E00A7B0">
            <w:pPr>
              <w:bidi w:val="0"/>
              <w:jc w:val="both"/>
              <w:rPr>
                <w:rFonts w:hint="eastAsia" w:ascii="宋体" w:hAnsi="宋体" w:eastAsia="宋体" w:cs="宋体"/>
              </w:rPr>
            </w:pPr>
            <w:r>
              <w:rPr>
                <w:rFonts w:hint="eastAsia" w:ascii="宋体" w:hAnsi="宋体" w:eastAsia="宋体" w:cs="宋体"/>
              </w:rPr>
              <w:t>《汽车加油加气加氢站技术标准》（GB50156-2021）第</w:t>
            </w:r>
          </w:p>
          <w:p w14:paraId="07BBCD01">
            <w:pPr>
              <w:bidi w:val="0"/>
              <w:jc w:val="center"/>
              <w:rPr>
                <w:rFonts w:hint="eastAsia" w:ascii="宋体" w:hAnsi="宋体" w:eastAsia="宋体" w:cs="宋体"/>
              </w:rPr>
            </w:pPr>
            <w:r>
              <w:rPr>
                <w:rFonts w:hint="eastAsia" w:ascii="宋体" w:hAnsi="宋体" w:eastAsia="宋体" w:cs="宋体"/>
              </w:rPr>
              <w:t>6.3.7条</w:t>
            </w:r>
          </w:p>
        </w:tc>
        <w:tc>
          <w:tcPr>
            <w:tcW w:w="2045" w:type="dxa"/>
            <w:vAlign w:val="center"/>
          </w:tcPr>
          <w:p w14:paraId="00B19347">
            <w:pPr>
              <w:bidi w:val="0"/>
              <w:jc w:val="center"/>
              <w:rPr>
                <w:rFonts w:hint="eastAsia" w:ascii="宋体" w:hAnsi="宋体" w:eastAsia="宋体" w:cs="宋体"/>
              </w:rPr>
            </w:pPr>
            <w:r>
              <w:rPr>
                <w:rFonts w:hint="eastAsia" w:ascii="宋体" w:hAnsi="宋体" w:eastAsia="宋体" w:cs="宋体"/>
              </w:rPr>
              <w:t>根据加油站施工资</w:t>
            </w:r>
          </w:p>
          <w:p w14:paraId="7BEC70DC">
            <w:pPr>
              <w:bidi w:val="0"/>
              <w:jc w:val="center"/>
              <w:rPr>
                <w:rFonts w:hint="eastAsia" w:ascii="宋体" w:hAnsi="宋体" w:eastAsia="宋体" w:cs="宋体"/>
              </w:rPr>
            </w:pPr>
            <w:r>
              <w:rPr>
                <w:rFonts w:hint="eastAsia" w:ascii="宋体" w:hAnsi="宋体" w:eastAsia="宋体" w:cs="宋体"/>
              </w:rPr>
              <w:t>料，油气回收系统设置满足要求。</w:t>
            </w:r>
          </w:p>
        </w:tc>
        <w:tc>
          <w:tcPr>
            <w:tcW w:w="821" w:type="dxa"/>
            <w:vAlign w:val="center"/>
          </w:tcPr>
          <w:p w14:paraId="475D79B1">
            <w:pPr>
              <w:bidi w:val="0"/>
              <w:jc w:val="center"/>
              <w:rPr>
                <w:rFonts w:hint="eastAsia" w:ascii="宋体" w:hAnsi="宋体" w:eastAsia="宋体" w:cs="宋体"/>
              </w:rPr>
            </w:pPr>
            <w:r>
              <w:rPr>
                <w:rFonts w:hint="eastAsia" w:ascii="宋体" w:hAnsi="宋体" w:eastAsia="宋体" w:cs="宋体"/>
              </w:rPr>
              <w:t>符合</w:t>
            </w:r>
          </w:p>
        </w:tc>
      </w:tr>
      <w:tr w14:paraId="6CFD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1" w:hRule="atLeast"/>
        </w:trPr>
        <w:tc>
          <w:tcPr>
            <w:tcW w:w="489" w:type="dxa"/>
            <w:vAlign w:val="center"/>
          </w:tcPr>
          <w:p w14:paraId="2CA20035">
            <w:pPr>
              <w:bidi w:val="0"/>
              <w:jc w:val="center"/>
              <w:rPr>
                <w:rFonts w:hint="eastAsia" w:ascii="宋体" w:hAnsi="宋体" w:eastAsia="宋体" w:cs="宋体"/>
              </w:rPr>
            </w:pPr>
            <w:r>
              <w:rPr>
                <w:rFonts w:hint="eastAsia" w:ascii="宋体" w:hAnsi="宋体" w:eastAsia="宋体" w:cs="宋体"/>
              </w:rPr>
              <w:t>25</w:t>
            </w:r>
          </w:p>
        </w:tc>
        <w:tc>
          <w:tcPr>
            <w:tcW w:w="3315" w:type="dxa"/>
            <w:vAlign w:val="center"/>
          </w:tcPr>
          <w:p w14:paraId="0D8A6C01">
            <w:pPr>
              <w:bidi w:val="0"/>
              <w:jc w:val="left"/>
              <w:rPr>
                <w:rFonts w:hint="eastAsia" w:ascii="宋体" w:hAnsi="宋体" w:eastAsia="宋体" w:cs="宋体"/>
              </w:rPr>
            </w:pPr>
            <w:r>
              <w:rPr>
                <w:rFonts w:hint="eastAsia" w:ascii="宋体" w:hAnsi="宋体" w:eastAsia="宋体" w:cs="宋体"/>
              </w:rPr>
              <w:t>通油罐的接合管设置应符合下列规定：</w:t>
            </w:r>
          </w:p>
          <w:p w14:paraId="1BDEE5A2">
            <w:pPr>
              <w:bidi w:val="0"/>
              <w:jc w:val="left"/>
              <w:rPr>
                <w:rFonts w:hint="eastAsia" w:ascii="宋体" w:hAnsi="宋体" w:eastAsia="宋体" w:cs="宋体"/>
              </w:rPr>
            </w:pPr>
            <w:r>
              <w:rPr>
                <w:rFonts w:hint="eastAsia" w:ascii="宋体" w:hAnsi="宋体" w:eastAsia="宋体" w:cs="宋体"/>
              </w:rPr>
              <w:t>（1）接合管应为金属材质；</w:t>
            </w:r>
          </w:p>
          <w:p w14:paraId="58E1EE9A">
            <w:pPr>
              <w:bidi w:val="0"/>
              <w:jc w:val="left"/>
              <w:rPr>
                <w:rFonts w:hint="eastAsia" w:ascii="宋体" w:hAnsi="宋体" w:eastAsia="宋体" w:cs="宋体"/>
              </w:rPr>
            </w:pPr>
            <w:r>
              <w:rPr>
                <w:rFonts w:hint="eastAsia" w:ascii="宋体" w:hAnsi="宋体" w:eastAsia="宋体" w:cs="宋体"/>
              </w:rPr>
              <w:t>（2）接合管应设在油罐的顶部，</w:t>
            </w:r>
          </w:p>
          <w:p w14:paraId="713F4216">
            <w:pPr>
              <w:bidi w:val="0"/>
              <w:jc w:val="left"/>
              <w:rPr>
                <w:rFonts w:hint="eastAsia" w:ascii="宋体" w:hAnsi="宋体" w:eastAsia="宋体" w:cs="宋体"/>
              </w:rPr>
            </w:pPr>
            <w:r>
              <w:rPr>
                <w:rFonts w:hint="eastAsia" w:ascii="宋体" w:hAnsi="宋体" w:eastAsia="宋体" w:cs="宋体"/>
              </w:rPr>
              <w:t>其中进油接合管、出油接合管或潜油泵安装口，应设在人孔盖上；</w:t>
            </w:r>
          </w:p>
          <w:p w14:paraId="228053DA">
            <w:pPr>
              <w:bidi w:val="0"/>
              <w:jc w:val="left"/>
              <w:rPr>
                <w:rFonts w:hint="eastAsia" w:ascii="宋体" w:hAnsi="宋体" w:eastAsia="宋体" w:cs="宋体"/>
              </w:rPr>
            </w:pPr>
            <w:r>
              <w:rPr>
                <w:rFonts w:hint="eastAsia" w:ascii="宋体" w:hAnsi="宋体" w:eastAsia="宋体" w:cs="宋体"/>
              </w:rPr>
              <w:t>（3）进油管应伸至罐内距罐底</w:t>
            </w:r>
          </w:p>
          <w:p w14:paraId="6F139AAF">
            <w:pPr>
              <w:bidi w:val="0"/>
              <w:jc w:val="left"/>
              <w:rPr>
                <w:rFonts w:hint="eastAsia" w:ascii="宋体" w:hAnsi="宋体" w:eastAsia="宋体" w:cs="宋体"/>
              </w:rPr>
            </w:pPr>
            <w:r>
              <w:rPr>
                <w:rFonts w:hint="eastAsia" w:ascii="宋体" w:hAnsi="宋体" w:eastAsia="宋体" w:cs="宋体"/>
              </w:rPr>
              <w:t>50mm～100mm处。进油立管的底端应为45°斜管口或T形管口。进油管管壁上不得有与油罐气相空间相通的开口；</w:t>
            </w:r>
          </w:p>
          <w:p w14:paraId="69004CE1">
            <w:pPr>
              <w:bidi w:val="0"/>
              <w:jc w:val="left"/>
              <w:rPr>
                <w:rFonts w:hint="eastAsia" w:ascii="宋体" w:hAnsi="宋体" w:eastAsia="宋体" w:cs="宋体"/>
              </w:rPr>
            </w:pPr>
            <w:r>
              <w:rPr>
                <w:rFonts w:hint="eastAsia" w:ascii="宋体" w:hAnsi="宋体" w:eastAsia="宋体" w:cs="宋体"/>
              </w:rPr>
              <w:t>（4）罐内潜油泵的入油口或通往自吸式加油机管道的罐内底阀，应高于罐底150mm～200mm；</w:t>
            </w:r>
          </w:p>
          <w:p w14:paraId="2EE66D12">
            <w:pPr>
              <w:bidi w:val="0"/>
              <w:jc w:val="left"/>
              <w:rPr>
                <w:rFonts w:hint="eastAsia" w:ascii="宋体" w:hAnsi="宋体" w:eastAsia="宋体" w:cs="宋体"/>
              </w:rPr>
            </w:pPr>
            <w:r>
              <w:rPr>
                <w:rFonts w:hint="eastAsia" w:ascii="宋体" w:hAnsi="宋体" w:eastAsia="宋体" w:cs="宋体"/>
              </w:rPr>
              <w:t>（5）油罐的量油孔应设带锁的量油帽。量油孔下部的接合管宜向下伸至罐内距罐底200mm处，并应有检尺时使接合管内液位与罐内</w:t>
            </w:r>
          </w:p>
          <w:p w14:paraId="5EC29B99">
            <w:pPr>
              <w:bidi w:val="0"/>
              <w:jc w:val="left"/>
              <w:rPr>
                <w:rFonts w:hint="eastAsia" w:ascii="宋体" w:hAnsi="宋体" w:eastAsia="宋体" w:cs="宋体"/>
              </w:rPr>
            </w:pPr>
            <w:r>
              <w:rPr>
                <w:rFonts w:hint="eastAsia" w:ascii="宋体" w:hAnsi="宋体" w:eastAsia="宋体" w:cs="宋体"/>
              </w:rPr>
              <w:t>液位相一致的技术措施；</w:t>
            </w:r>
          </w:p>
          <w:p w14:paraId="4BAF723C">
            <w:pPr>
              <w:bidi w:val="0"/>
              <w:jc w:val="left"/>
              <w:rPr>
                <w:rFonts w:hint="eastAsia" w:ascii="宋体" w:hAnsi="宋体" w:eastAsia="宋体" w:cs="宋体"/>
              </w:rPr>
            </w:pPr>
            <w:r>
              <w:rPr>
                <w:rFonts w:hint="eastAsia" w:ascii="宋体" w:hAnsi="宋体" w:eastAsia="宋体" w:cs="宋体"/>
              </w:rPr>
              <w:t>（6）油罐人孔井内的管道及设备应保证油罐人孔盖的可拆装性；</w:t>
            </w:r>
          </w:p>
          <w:p w14:paraId="56AF8B70">
            <w:pPr>
              <w:bidi w:val="0"/>
              <w:jc w:val="left"/>
              <w:rPr>
                <w:rFonts w:hint="eastAsia" w:ascii="宋体" w:hAnsi="宋体" w:eastAsia="宋体" w:cs="宋体"/>
              </w:rPr>
            </w:pPr>
            <w:r>
              <w:rPr>
                <w:rFonts w:hint="eastAsia" w:ascii="宋体" w:hAnsi="宋体" w:eastAsia="宋体" w:cs="宋体"/>
              </w:rPr>
              <w:t>（7）人孔盖上的接合管与引出井外管道的连接，宜采用金属软管过渡连接。</w:t>
            </w:r>
          </w:p>
        </w:tc>
        <w:tc>
          <w:tcPr>
            <w:tcW w:w="2734" w:type="dxa"/>
            <w:vAlign w:val="center"/>
          </w:tcPr>
          <w:p w14:paraId="4EEF46B7">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1E551D66">
            <w:pPr>
              <w:bidi w:val="0"/>
              <w:jc w:val="center"/>
              <w:rPr>
                <w:rFonts w:hint="eastAsia" w:ascii="宋体" w:hAnsi="宋体" w:eastAsia="宋体" w:cs="宋体"/>
              </w:rPr>
            </w:pPr>
            <w:r>
              <w:rPr>
                <w:rFonts w:hint="eastAsia" w:ascii="宋体" w:hAnsi="宋体" w:eastAsia="宋体" w:cs="宋体"/>
              </w:rPr>
              <w:t>第6.3.8条</w:t>
            </w:r>
          </w:p>
        </w:tc>
        <w:tc>
          <w:tcPr>
            <w:tcW w:w="2045" w:type="dxa"/>
            <w:vAlign w:val="center"/>
          </w:tcPr>
          <w:p w14:paraId="6B154741">
            <w:pPr>
              <w:bidi w:val="0"/>
              <w:jc w:val="center"/>
              <w:rPr>
                <w:rFonts w:hint="eastAsia" w:ascii="宋体" w:hAnsi="宋体" w:eastAsia="宋体" w:cs="宋体"/>
              </w:rPr>
            </w:pPr>
            <w:r>
              <w:rPr>
                <w:rFonts w:hint="eastAsia" w:ascii="宋体" w:hAnsi="宋体" w:eastAsia="宋体" w:cs="宋体"/>
              </w:rPr>
              <w:t>油罐的接合管设置符合规定。</w:t>
            </w:r>
          </w:p>
        </w:tc>
        <w:tc>
          <w:tcPr>
            <w:tcW w:w="821" w:type="dxa"/>
            <w:vAlign w:val="center"/>
          </w:tcPr>
          <w:p w14:paraId="0E2FDB0C">
            <w:pPr>
              <w:bidi w:val="0"/>
              <w:jc w:val="center"/>
              <w:rPr>
                <w:rFonts w:hint="eastAsia" w:ascii="宋体" w:hAnsi="宋体" w:eastAsia="宋体" w:cs="宋体"/>
              </w:rPr>
            </w:pPr>
            <w:r>
              <w:rPr>
                <w:rFonts w:hint="eastAsia" w:ascii="宋体" w:hAnsi="宋体" w:eastAsia="宋体" w:cs="宋体"/>
              </w:rPr>
              <w:t>符合</w:t>
            </w:r>
          </w:p>
        </w:tc>
      </w:tr>
      <w:tr w14:paraId="11C16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9" w:hRule="atLeast"/>
        </w:trPr>
        <w:tc>
          <w:tcPr>
            <w:tcW w:w="489" w:type="dxa"/>
            <w:vAlign w:val="center"/>
          </w:tcPr>
          <w:p w14:paraId="15AE042E">
            <w:pPr>
              <w:bidi w:val="0"/>
              <w:jc w:val="center"/>
              <w:rPr>
                <w:rFonts w:hint="eastAsia" w:ascii="宋体" w:hAnsi="宋体" w:eastAsia="宋体" w:cs="宋体"/>
              </w:rPr>
            </w:pPr>
            <w:r>
              <w:rPr>
                <w:rFonts w:hint="eastAsia" w:ascii="宋体" w:hAnsi="宋体" w:eastAsia="宋体" w:cs="宋体"/>
              </w:rPr>
              <w:t>26</w:t>
            </w:r>
          </w:p>
        </w:tc>
        <w:tc>
          <w:tcPr>
            <w:tcW w:w="3315" w:type="dxa"/>
            <w:vAlign w:val="center"/>
          </w:tcPr>
          <w:p w14:paraId="7F371874">
            <w:pPr>
              <w:bidi w:val="0"/>
              <w:jc w:val="left"/>
              <w:rPr>
                <w:rFonts w:hint="eastAsia" w:ascii="宋体" w:hAnsi="宋体" w:eastAsia="宋体" w:cs="宋体"/>
              </w:rPr>
            </w:pPr>
            <w:r>
              <w:rPr>
                <w:rFonts w:hint="eastAsia" w:ascii="宋体" w:hAnsi="宋体" w:eastAsia="宋体" w:cs="宋体"/>
              </w:rPr>
              <w:t>汽油罐与柴油罐的通气管应分开</w:t>
            </w:r>
          </w:p>
          <w:p w14:paraId="02F17ECE">
            <w:pPr>
              <w:bidi w:val="0"/>
              <w:jc w:val="left"/>
              <w:rPr>
                <w:rFonts w:hint="eastAsia" w:ascii="宋体" w:hAnsi="宋体" w:eastAsia="宋体" w:cs="宋体"/>
              </w:rPr>
            </w:pPr>
            <w:r>
              <w:rPr>
                <w:rFonts w:hint="eastAsia" w:ascii="宋体" w:hAnsi="宋体" w:eastAsia="宋体" w:cs="宋体"/>
              </w:rPr>
              <w:t>设置。通气管管口高出地面的高度不应小于4m。沿建（构）筑物的墙（柱）向上敷设的通气管，管口应高出建筑物的顶面2m及以上。通气管管口应设置阻火器。</w:t>
            </w:r>
          </w:p>
        </w:tc>
        <w:tc>
          <w:tcPr>
            <w:tcW w:w="2734" w:type="dxa"/>
            <w:vAlign w:val="center"/>
          </w:tcPr>
          <w:p w14:paraId="7F917763">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10071612">
            <w:pPr>
              <w:bidi w:val="0"/>
              <w:jc w:val="center"/>
              <w:rPr>
                <w:rFonts w:hint="eastAsia" w:ascii="宋体" w:hAnsi="宋体" w:eastAsia="宋体" w:cs="宋体"/>
              </w:rPr>
            </w:pPr>
            <w:r>
              <w:rPr>
                <w:rFonts w:hint="eastAsia" w:ascii="宋体" w:hAnsi="宋体" w:eastAsia="宋体" w:cs="宋体"/>
              </w:rPr>
              <w:t>第6.3.9条</w:t>
            </w:r>
          </w:p>
        </w:tc>
        <w:tc>
          <w:tcPr>
            <w:tcW w:w="2045" w:type="dxa"/>
            <w:vAlign w:val="center"/>
          </w:tcPr>
          <w:p w14:paraId="13034BD2">
            <w:pPr>
              <w:bidi w:val="0"/>
              <w:jc w:val="center"/>
              <w:rPr>
                <w:rFonts w:hint="eastAsia" w:ascii="宋体" w:hAnsi="宋体" w:eastAsia="宋体" w:cs="宋体"/>
              </w:rPr>
            </w:pPr>
            <w:r>
              <w:rPr>
                <w:rFonts w:hint="eastAsia" w:ascii="宋体" w:hAnsi="宋体" w:eastAsia="宋体" w:cs="宋体"/>
              </w:rPr>
              <w:t>加油站设置卸油及加油油气回收系统，罐区汽油罐、柴油罐通气管分开设置，通气管公称直径为DN50，通气管管口高出地面4</w:t>
            </w:r>
            <w:r>
              <w:rPr>
                <w:rFonts w:hint="eastAsia" w:ascii="宋体" w:hAnsi="宋体" w:eastAsia="宋体" w:cs="宋体"/>
                <w:lang w:val="en-US" w:eastAsia="zh-CN"/>
              </w:rPr>
              <w:t>.5</w:t>
            </w:r>
            <w:r>
              <w:rPr>
                <w:rFonts w:hint="eastAsia" w:ascii="宋体" w:hAnsi="宋体" w:eastAsia="宋体" w:cs="宋体"/>
              </w:rPr>
              <w:t>m。柴油罐通气管管口安装阻火器；汽油通气管口安装带阻火器的呼吸阀。</w:t>
            </w:r>
          </w:p>
        </w:tc>
        <w:tc>
          <w:tcPr>
            <w:tcW w:w="821" w:type="dxa"/>
            <w:vAlign w:val="center"/>
          </w:tcPr>
          <w:p w14:paraId="12E01BA7">
            <w:pPr>
              <w:bidi w:val="0"/>
              <w:jc w:val="both"/>
              <w:rPr>
                <w:rFonts w:hint="eastAsia" w:ascii="宋体" w:hAnsi="宋体" w:eastAsia="宋体" w:cs="宋体"/>
              </w:rPr>
            </w:pPr>
            <w:r>
              <w:rPr>
                <w:rFonts w:hint="eastAsia" w:ascii="宋体" w:hAnsi="宋体" w:eastAsia="宋体" w:cs="宋体"/>
              </w:rPr>
              <w:t>符合</w:t>
            </w:r>
          </w:p>
        </w:tc>
      </w:tr>
      <w:tr w14:paraId="1E67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489" w:type="dxa"/>
            <w:vAlign w:val="center"/>
          </w:tcPr>
          <w:p w14:paraId="6B1720CA">
            <w:pPr>
              <w:bidi w:val="0"/>
              <w:jc w:val="center"/>
              <w:rPr>
                <w:rFonts w:hint="eastAsia" w:ascii="宋体" w:hAnsi="宋体" w:eastAsia="宋体" w:cs="宋体"/>
              </w:rPr>
            </w:pPr>
            <w:r>
              <w:rPr>
                <w:rFonts w:hint="eastAsia" w:ascii="宋体" w:hAnsi="宋体" w:eastAsia="宋体" w:cs="宋体"/>
              </w:rPr>
              <w:t>27</w:t>
            </w:r>
          </w:p>
        </w:tc>
        <w:tc>
          <w:tcPr>
            <w:tcW w:w="3315" w:type="dxa"/>
            <w:vAlign w:val="center"/>
          </w:tcPr>
          <w:p w14:paraId="5D36158F">
            <w:pPr>
              <w:bidi w:val="0"/>
              <w:jc w:val="left"/>
              <w:rPr>
                <w:rFonts w:hint="eastAsia" w:ascii="宋体" w:hAnsi="宋体" w:eastAsia="宋体" w:cs="宋体"/>
              </w:rPr>
            </w:pPr>
            <w:r>
              <w:rPr>
                <w:rFonts w:hint="eastAsia" w:ascii="宋体" w:hAnsi="宋体" w:eastAsia="宋体" w:cs="宋体"/>
              </w:rPr>
              <w:t>加油站工艺管道的选用，应符通气管的公称直径不应小于50mm。</w:t>
            </w:r>
          </w:p>
        </w:tc>
        <w:tc>
          <w:tcPr>
            <w:tcW w:w="2734" w:type="dxa"/>
            <w:vAlign w:val="center"/>
          </w:tcPr>
          <w:p w14:paraId="1C87C097">
            <w:pPr>
              <w:bidi w:val="0"/>
              <w:jc w:val="center"/>
              <w:rPr>
                <w:rFonts w:hint="eastAsia" w:ascii="宋体" w:hAnsi="宋体" w:eastAsia="宋体" w:cs="宋体"/>
              </w:rPr>
            </w:pPr>
            <w:r>
              <w:rPr>
                <w:rFonts w:hint="eastAsia" w:ascii="宋体" w:hAnsi="宋体" w:eastAsia="宋体" w:cs="宋体"/>
              </w:rPr>
              <w:t>《汽车加油加气加氢站技术标准》（GB50156-2021）第6.3.10条</w:t>
            </w:r>
          </w:p>
        </w:tc>
        <w:tc>
          <w:tcPr>
            <w:tcW w:w="2045" w:type="dxa"/>
            <w:vAlign w:val="center"/>
          </w:tcPr>
          <w:p w14:paraId="7DC3DCF7">
            <w:pPr>
              <w:bidi w:val="0"/>
              <w:jc w:val="center"/>
              <w:rPr>
                <w:rFonts w:hint="eastAsia" w:ascii="宋体" w:hAnsi="宋体" w:eastAsia="宋体" w:cs="宋体"/>
              </w:rPr>
            </w:pPr>
            <w:r>
              <w:rPr>
                <w:rFonts w:hint="eastAsia" w:ascii="宋体" w:hAnsi="宋体" w:eastAsia="宋体" w:cs="宋体"/>
              </w:rPr>
              <w:t>油通气管直径为</w:t>
            </w:r>
          </w:p>
          <w:p w14:paraId="7BD83171">
            <w:pPr>
              <w:bidi w:val="0"/>
              <w:jc w:val="center"/>
              <w:rPr>
                <w:rFonts w:hint="eastAsia" w:ascii="宋体" w:hAnsi="宋体" w:eastAsia="宋体" w:cs="宋体"/>
              </w:rPr>
            </w:pPr>
            <w:r>
              <w:rPr>
                <w:rFonts w:hint="eastAsia" w:ascii="宋体" w:hAnsi="宋体" w:eastAsia="宋体" w:cs="宋体"/>
              </w:rPr>
              <w:t>50mm。</w:t>
            </w:r>
          </w:p>
        </w:tc>
        <w:tc>
          <w:tcPr>
            <w:tcW w:w="821" w:type="dxa"/>
            <w:vAlign w:val="center"/>
          </w:tcPr>
          <w:p w14:paraId="50D6EE42">
            <w:pPr>
              <w:bidi w:val="0"/>
              <w:jc w:val="center"/>
              <w:rPr>
                <w:rFonts w:hint="eastAsia" w:ascii="宋体" w:hAnsi="宋体" w:eastAsia="宋体" w:cs="宋体"/>
              </w:rPr>
            </w:pPr>
          </w:p>
          <w:p w14:paraId="101D5D4F">
            <w:pPr>
              <w:bidi w:val="0"/>
              <w:jc w:val="center"/>
              <w:rPr>
                <w:rFonts w:hint="eastAsia" w:ascii="宋体" w:hAnsi="宋体" w:eastAsia="宋体" w:cs="宋体"/>
              </w:rPr>
            </w:pPr>
            <w:r>
              <w:rPr>
                <w:rFonts w:hint="eastAsia" w:ascii="宋体" w:hAnsi="宋体" w:eastAsia="宋体" w:cs="宋体"/>
              </w:rPr>
              <w:t>符合</w:t>
            </w:r>
          </w:p>
        </w:tc>
      </w:tr>
      <w:tr w14:paraId="461CA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489" w:type="dxa"/>
            <w:vAlign w:val="center"/>
          </w:tcPr>
          <w:p w14:paraId="5140FEE0">
            <w:pPr>
              <w:bidi w:val="0"/>
              <w:jc w:val="center"/>
              <w:rPr>
                <w:rFonts w:hint="eastAsia" w:ascii="宋体" w:hAnsi="宋体" w:eastAsia="宋体" w:cs="宋体"/>
              </w:rPr>
            </w:pPr>
            <w:r>
              <w:rPr>
                <w:rFonts w:hint="eastAsia" w:ascii="宋体" w:hAnsi="宋体" w:eastAsia="宋体" w:cs="宋体"/>
              </w:rPr>
              <w:t>28</w:t>
            </w:r>
          </w:p>
        </w:tc>
        <w:tc>
          <w:tcPr>
            <w:tcW w:w="3315" w:type="dxa"/>
            <w:vAlign w:val="center"/>
          </w:tcPr>
          <w:p w14:paraId="139F7D3D">
            <w:pPr>
              <w:bidi w:val="0"/>
              <w:jc w:val="left"/>
              <w:rPr>
                <w:rFonts w:hint="eastAsia" w:ascii="宋体" w:hAnsi="宋体" w:eastAsia="宋体" w:cs="宋体"/>
              </w:rPr>
            </w:pPr>
            <w:r>
              <w:rPr>
                <w:rFonts w:hint="eastAsia" w:ascii="宋体" w:hAnsi="宋体" w:eastAsia="宋体" w:cs="宋体"/>
              </w:rPr>
              <w:t>当加油站采用油气回收系统时，汽油罐的通气管管口</w:t>
            </w:r>
            <w:r>
              <w:rPr>
                <w:rFonts w:hint="eastAsia" w:ascii="宋体" w:hAnsi="宋体" w:eastAsia="宋体" w:cs="宋体"/>
                <w:lang w:val="en-US" w:eastAsia="zh-CN"/>
              </w:rPr>
              <w:t>除</w:t>
            </w:r>
            <w:r>
              <w:rPr>
                <w:rFonts w:hint="eastAsia" w:ascii="宋体" w:hAnsi="宋体" w:eastAsia="宋体" w:cs="宋体"/>
              </w:rPr>
              <w:t>应装设阻火器外，尚应装设呼吸阀。呼吸阀的工作正压宜为2kPa～3kPa，工作负压宜为1.5kPa～2kPa。</w:t>
            </w:r>
          </w:p>
        </w:tc>
        <w:tc>
          <w:tcPr>
            <w:tcW w:w="2734" w:type="dxa"/>
            <w:vAlign w:val="center"/>
          </w:tcPr>
          <w:p w14:paraId="30181E44">
            <w:pPr>
              <w:bidi w:val="0"/>
              <w:jc w:val="center"/>
              <w:rPr>
                <w:rFonts w:hint="eastAsia" w:ascii="宋体" w:hAnsi="宋体" w:eastAsia="宋体" w:cs="宋体"/>
              </w:rPr>
            </w:pPr>
            <w:r>
              <w:rPr>
                <w:rFonts w:hint="eastAsia" w:ascii="宋体" w:hAnsi="宋体" w:eastAsia="宋体" w:cs="宋体"/>
              </w:rPr>
              <w:t>《汽车加油加气加氢站技术标准》（GB50156-2021）第6.3.11条</w:t>
            </w:r>
          </w:p>
        </w:tc>
        <w:tc>
          <w:tcPr>
            <w:tcW w:w="2045" w:type="dxa"/>
            <w:vAlign w:val="center"/>
          </w:tcPr>
          <w:p w14:paraId="1581FAD7">
            <w:pPr>
              <w:bidi w:val="0"/>
              <w:jc w:val="center"/>
              <w:rPr>
                <w:rFonts w:hint="eastAsia" w:ascii="宋体" w:hAnsi="宋体" w:eastAsia="宋体" w:cs="宋体"/>
              </w:rPr>
            </w:pPr>
            <w:r>
              <w:rPr>
                <w:rFonts w:hint="eastAsia" w:ascii="宋体" w:hAnsi="宋体" w:eastAsia="宋体" w:cs="宋体"/>
              </w:rPr>
              <w:t>汽油通气管设置有机械呼吸阀。</w:t>
            </w:r>
          </w:p>
        </w:tc>
        <w:tc>
          <w:tcPr>
            <w:tcW w:w="821" w:type="dxa"/>
            <w:vAlign w:val="center"/>
          </w:tcPr>
          <w:p w14:paraId="005031D8">
            <w:pPr>
              <w:bidi w:val="0"/>
              <w:jc w:val="center"/>
              <w:rPr>
                <w:rFonts w:hint="eastAsia" w:ascii="宋体" w:hAnsi="宋体" w:eastAsia="宋体" w:cs="宋体"/>
              </w:rPr>
            </w:pPr>
            <w:r>
              <w:rPr>
                <w:rFonts w:hint="eastAsia" w:ascii="宋体" w:hAnsi="宋体" w:eastAsia="宋体" w:cs="宋体"/>
              </w:rPr>
              <w:t>符合</w:t>
            </w:r>
          </w:p>
        </w:tc>
      </w:tr>
      <w:tr w14:paraId="3F51F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1" w:hRule="atLeast"/>
        </w:trPr>
        <w:tc>
          <w:tcPr>
            <w:tcW w:w="489" w:type="dxa"/>
            <w:vAlign w:val="center"/>
          </w:tcPr>
          <w:p w14:paraId="2BFF1A0A">
            <w:pPr>
              <w:bidi w:val="0"/>
              <w:jc w:val="center"/>
              <w:rPr>
                <w:rFonts w:hint="eastAsia" w:ascii="宋体" w:hAnsi="宋体" w:eastAsia="宋体" w:cs="宋体"/>
              </w:rPr>
            </w:pPr>
            <w:r>
              <w:rPr>
                <w:rFonts w:hint="eastAsia" w:ascii="宋体" w:hAnsi="宋体" w:eastAsia="宋体" w:cs="宋体"/>
              </w:rPr>
              <w:t>29</w:t>
            </w:r>
          </w:p>
        </w:tc>
        <w:tc>
          <w:tcPr>
            <w:tcW w:w="3315" w:type="dxa"/>
            <w:vAlign w:val="center"/>
          </w:tcPr>
          <w:p w14:paraId="3922F55D">
            <w:pPr>
              <w:bidi w:val="0"/>
              <w:jc w:val="left"/>
              <w:rPr>
                <w:rFonts w:hint="eastAsia" w:ascii="宋体" w:hAnsi="宋体" w:eastAsia="宋体" w:cs="宋体"/>
              </w:rPr>
            </w:pPr>
            <w:r>
              <w:rPr>
                <w:rFonts w:hint="eastAsia" w:ascii="宋体" w:hAnsi="宋体" w:eastAsia="宋体" w:cs="宋体"/>
              </w:rPr>
              <w:t>加油站工艺管道的选用，应符合下列规定：</w:t>
            </w:r>
          </w:p>
          <w:p w14:paraId="39D901C8">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地面敷设的工艺管道应采用符合现行国家标准《输送流体用无缝钢管》GB/T8163的无缝钢管；</w:t>
            </w:r>
          </w:p>
          <w:p w14:paraId="38CEFC6D">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其他管道应采用输送流体用无缝钢管或适于输送油品的热塑性塑料管道，所采用的热塑性塑料管道应有质量证明文件，非烃类车用燃料不得采用不导静电的热塑性塑料管道；</w:t>
            </w:r>
          </w:p>
          <w:p w14:paraId="05366EF5">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无缝钢管的公称壁厚不应小于4mm，埋地钢管的连接应采用焊接；</w:t>
            </w:r>
          </w:p>
          <w:p w14:paraId="349A7889">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热塑性塑料管道的主体结构层应为无孔隙聚乙烯材料，壁厚不应小于4mm，埋地部分的热塑性塑料管道应采用配套的专用连接管件电熔连接；</w:t>
            </w:r>
          </w:p>
          <w:p w14:paraId="1E3B9432">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导静电热塑性塑料管道导静电衬层的体电阻率应小于10</w:t>
            </w:r>
            <w:r>
              <w:rPr>
                <w:rFonts w:hint="eastAsia" w:ascii="宋体" w:hAnsi="宋体" w:eastAsia="宋体" w:cs="宋体"/>
                <w:vertAlign w:val="superscript"/>
              </w:rPr>
              <w:t>8</w:t>
            </w:r>
            <w:r>
              <w:rPr>
                <w:rFonts w:hint="eastAsia" w:ascii="宋体" w:hAnsi="宋体" w:eastAsia="宋体" w:cs="宋体"/>
              </w:rPr>
              <w:t>Ω·m，表面电阻率应小于10</w:t>
            </w:r>
            <w:r>
              <w:rPr>
                <w:rFonts w:hint="eastAsia" w:ascii="宋体" w:hAnsi="宋体" w:eastAsia="宋体" w:cs="宋体"/>
                <w:vertAlign w:val="superscript"/>
              </w:rPr>
              <w:t>10</w:t>
            </w:r>
            <w:r>
              <w:rPr>
                <w:rFonts w:hint="eastAsia" w:ascii="宋体" w:hAnsi="宋体" w:eastAsia="宋体" w:cs="宋体"/>
              </w:rPr>
              <w:t>Ω；</w:t>
            </w:r>
          </w:p>
          <w:p w14:paraId="500F8F0E">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不导静电热塑性塑料管道主体结构层的介电击穿强度应大于100kV；</w:t>
            </w:r>
          </w:p>
          <w:p w14:paraId="17AFBF50">
            <w:pPr>
              <w:bidi w:val="0"/>
              <w:jc w:val="left"/>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rPr>
              <w:t>柴油尾气处理液加注设备的管道，应采用奥氏体不锈钢管道或能满足输送柴油尾气处理液的其他管道。</w:t>
            </w:r>
          </w:p>
        </w:tc>
        <w:tc>
          <w:tcPr>
            <w:tcW w:w="2734" w:type="dxa"/>
            <w:vAlign w:val="center"/>
          </w:tcPr>
          <w:p w14:paraId="74596C42">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3ACBEAC7">
            <w:pPr>
              <w:bidi w:val="0"/>
              <w:jc w:val="center"/>
              <w:rPr>
                <w:rFonts w:hint="eastAsia" w:ascii="宋体" w:hAnsi="宋体" w:eastAsia="宋体" w:cs="宋体"/>
              </w:rPr>
            </w:pPr>
            <w:r>
              <w:rPr>
                <w:rFonts w:hint="eastAsia" w:ascii="宋体" w:hAnsi="宋体" w:eastAsia="宋体" w:cs="宋体"/>
              </w:rPr>
              <w:t>第6.3.12条</w:t>
            </w:r>
          </w:p>
        </w:tc>
        <w:tc>
          <w:tcPr>
            <w:tcW w:w="2045" w:type="dxa"/>
            <w:vAlign w:val="center"/>
          </w:tcPr>
          <w:p w14:paraId="6F58BDE5">
            <w:pPr>
              <w:bidi w:val="0"/>
              <w:jc w:val="both"/>
              <w:rPr>
                <w:rFonts w:hint="eastAsia" w:ascii="宋体" w:hAnsi="宋体" w:eastAsia="宋体" w:cs="宋体"/>
              </w:rPr>
            </w:pPr>
            <w:r>
              <w:rPr>
                <w:rFonts w:hint="eastAsia" w:ascii="宋体" w:hAnsi="宋体" w:eastAsia="宋体" w:cs="宋体"/>
              </w:rPr>
              <w:t>加油站地面敷设的工艺管道符合规范要求。</w:t>
            </w:r>
          </w:p>
        </w:tc>
        <w:tc>
          <w:tcPr>
            <w:tcW w:w="821" w:type="dxa"/>
            <w:vAlign w:val="center"/>
          </w:tcPr>
          <w:p w14:paraId="1D2DF3E8">
            <w:pPr>
              <w:bidi w:val="0"/>
              <w:jc w:val="both"/>
              <w:rPr>
                <w:rFonts w:hint="eastAsia" w:ascii="宋体" w:hAnsi="宋体" w:eastAsia="宋体" w:cs="宋体"/>
              </w:rPr>
            </w:pPr>
            <w:r>
              <w:rPr>
                <w:rFonts w:hint="eastAsia" w:ascii="宋体" w:hAnsi="宋体" w:eastAsia="宋体" w:cs="宋体"/>
              </w:rPr>
              <w:t>符合</w:t>
            </w:r>
          </w:p>
        </w:tc>
      </w:tr>
      <w:tr w14:paraId="6C519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489" w:type="dxa"/>
            <w:vAlign w:val="center"/>
          </w:tcPr>
          <w:p w14:paraId="667410D5">
            <w:pPr>
              <w:bidi w:val="0"/>
              <w:jc w:val="center"/>
              <w:rPr>
                <w:rFonts w:hint="eastAsia" w:ascii="宋体" w:hAnsi="宋体" w:eastAsia="宋体" w:cs="宋体"/>
              </w:rPr>
            </w:pPr>
            <w:r>
              <w:rPr>
                <w:rFonts w:hint="eastAsia" w:ascii="宋体" w:hAnsi="宋体" w:eastAsia="宋体" w:cs="宋体"/>
              </w:rPr>
              <w:t>30</w:t>
            </w:r>
          </w:p>
        </w:tc>
        <w:tc>
          <w:tcPr>
            <w:tcW w:w="3315" w:type="dxa"/>
            <w:vAlign w:val="center"/>
          </w:tcPr>
          <w:p w14:paraId="6E53CF21">
            <w:pPr>
              <w:bidi w:val="0"/>
              <w:jc w:val="left"/>
              <w:rPr>
                <w:rFonts w:hint="eastAsia" w:ascii="宋体" w:hAnsi="宋体" w:eastAsia="宋体" w:cs="宋体"/>
              </w:rPr>
            </w:pPr>
            <w:r>
              <w:rPr>
                <w:rFonts w:hint="eastAsia" w:ascii="宋体" w:hAnsi="宋体" w:eastAsia="宋体" w:cs="宋体"/>
              </w:rPr>
              <w:t>油罐车卸油时用的卸油连通软管、油气回收连通软管，应采用导静电耐油软管，其体电阻率应小于10</w:t>
            </w:r>
            <w:r>
              <w:rPr>
                <w:rFonts w:hint="eastAsia" w:ascii="宋体" w:hAnsi="宋体" w:eastAsia="宋体" w:cs="宋体"/>
                <w:vertAlign w:val="superscript"/>
              </w:rPr>
              <w:t>8</w:t>
            </w:r>
            <w:r>
              <w:rPr>
                <w:rFonts w:hint="eastAsia" w:ascii="宋体" w:hAnsi="宋体" w:eastAsia="宋体" w:cs="宋体"/>
              </w:rPr>
              <w:t>Ω·m，表面电阻率应小于10</w:t>
            </w:r>
            <w:r>
              <w:rPr>
                <w:rFonts w:hint="eastAsia" w:ascii="宋体" w:hAnsi="宋体" w:eastAsia="宋体" w:cs="宋体"/>
                <w:vertAlign w:val="superscript"/>
              </w:rPr>
              <w:t>10</w:t>
            </w:r>
            <w:r>
              <w:rPr>
                <w:rFonts w:hint="eastAsia" w:ascii="宋体" w:hAnsi="宋体" w:eastAsia="宋体" w:cs="宋体"/>
              </w:rPr>
              <w:t>Ω，或采用内附金属丝（网）的橡胶软管。</w:t>
            </w:r>
          </w:p>
        </w:tc>
        <w:tc>
          <w:tcPr>
            <w:tcW w:w="2734" w:type="dxa"/>
            <w:vAlign w:val="center"/>
          </w:tcPr>
          <w:p w14:paraId="178DE1BD">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4E1D8991">
            <w:pPr>
              <w:bidi w:val="0"/>
              <w:jc w:val="center"/>
              <w:rPr>
                <w:rFonts w:hint="eastAsia" w:ascii="宋体" w:hAnsi="宋体" w:eastAsia="宋体" w:cs="宋体"/>
              </w:rPr>
            </w:pPr>
            <w:r>
              <w:rPr>
                <w:rFonts w:hint="eastAsia" w:ascii="宋体" w:hAnsi="宋体" w:eastAsia="宋体" w:cs="宋体"/>
              </w:rPr>
              <w:t>第6.3.13条</w:t>
            </w:r>
          </w:p>
        </w:tc>
        <w:tc>
          <w:tcPr>
            <w:tcW w:w="2045" w:type="dxa"/>
            <w:vAlign w:val="center"/>
          </w:tcPr>
          <w:p w14:paraId="5B889A33">
            <w:pPr>
              <w:bidi w:val="0"/>
              <w:jc w:val="center"/>
              <w:rPr>
                <w:rFonts w:hint="eastAsia" w:ascii="宋体" w:hAnsi="宋体" w:eastAsia="宋体" w:cs="宋体"/>
              </w:rPr>
            </w:pPr>
            <w:r>
              <w:rPr>
                <w:rFonts w:hint="eastAsia" w:ascii="宋体" w:hAnsi="宋体" w:eastAsia="宋体" w:cs="宋体"/>
              </w:rPr>
              <w:t>加油站卸油连通软管以及油气回收连通软管均符合要求。</w:t>
            </w:r>
          </w:p>
        </w:tc>
        <w:tc>
          <w:tcPr>
            <w:tcW w:w="821" w:type="dxa"/>
            <w:vAlign w:val="center"/>
          </w:tcPr>
          <w:p w14:paraId="21079BC0">
            <w:pPr>
              <w:bidi w:val="0"/>
              <w:jc w:val="both"/>
              <w:rPr>
                <w:rFonts w:hint="eastAsia" w:ascii="宋体" w:hAnsi="宋体" w:eastAsia="宋体" w:cs="宋体"/>
              </w:rPr>
            </w:pPr>
            <w:r>
              <w:rPr>
                <w:rFonts w:hint="eastAsia" w:ascii="宋体" w:hAnsi="宋体" w:eastAsia="宋体" w:cs="宋体"/>
              </w:rPr>
              <w:t>符合</w:t>
            </w:r>
          </w:p>
        </w:tc>
      </w:tr>
      <w:tr w14:paraId="0B9FD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489" w:type="dxa"/>
            <w:vAlign w:val="center"/>
          </w:tcPr>
          <w:p w14:paraId="6BE73362">
            <w:pPr>
              <w:bidi w:val="0"/>
              <w:jc w:val="center"/>
              <w:rPr>
                <w:rFonts w:hint="eastAsia" w:ascii="宋体" w:hAnsi="宋体" w:eastAsia="宋体" w:cs="宋体"/>
              </w:rPr>
            </w:pPr>
            <w:r>
              <w:rPr>
                <w:rFonts w:hint="eastAsia" w:ascii="宋体" w:hAnsi="宋体" w:eastAsia="宋体" w:cs="宋体"/>
              </w:rPr>
              <w:t>31</w:t>
            </w:r>
          </w:p>
        </w:tc>
        <w:tc>
          <w:tcPr>
            <w:tcW w:w="3315" w:type="dxa"/>
            <w:vAlign w:val="center"/>
          </w:tcPr>
          <w:p w14:paraId="184808E4">
            <w:pPr>
              <w:bidi w:val="0"/>
              <w:jc w:val="left"/>
              <w:rPr>
                <w:rFonts w:hint="eastAsia" w:ascii="宋体" w:hAnsi="宋体" w:eastAsia="宋体" w:cs="宋体"/>
              </w:rPr>
            </w:pPr>
            <w:r>
              <w:rPr>
                <w:rFonts w:hint="eastAsia" w:ascii="宋体" w:hAnsi="宋体" w:eastAsia="宋体" w:cs="宋体"/>
              </w:rPr>
              <w:t>加油站内的工艺管道除必须露出地面的以外，均应埋地敷设。当采用管沟敷设时，管沟必须用中性沙子或细土填满、填实。</w:t>
            </w:r>
          </w:p>
        </w:tc>
        <w:tc>
          <w:tcPr>
            <w:tcW w:w="2734" w:type="dxa"/>
            <w:vAlign w:val="center"/>
          </w:tcPr>
          <w:p w14:paraId="6C99199D">
            <w:pPr>
              <w:bidi w:val="0"/>
              <w:jc w:val="center"/>
              <w:rPr>
                <w:rFonts w:hint="eastAsia" w:ascii="宋体" w:hAnsi="宋体" w:eastAsia="宋体" w:cs="宋体"/>
              </w:rPr>
            </w:pPr>
            <w:r>
              <w:rPr>
                <w:rFonts w:hint="eastAsia" w:ascii="宋体" w:hAnsi="宋体" w:eastAsia="宋体" w:cs="宋体"/>
              </w:rPr>
              <w:t>《汽车加油加气加氢站技术标准》（GB50156-2021）第6.3.14条</w:t>
            </w:r>
          </w:p>
        </w:tc>
        <w:tc>
          <w:tcPr>
            <w:tcW w:w="2045" w:type="dxa"/>
            <w:vAlign w:val="center"/>
          </w:tcPr>
          <w:p w14:paraId="6ED8413D">
            <w:pPr>
              <w:bidi w:val="0"/>
              <w:jc w:val="center"/>
              <w:rPr>
                <w:rFonts w:hint="eastAsia" w:ascii="宋体" w:hAnsi="宋体" w:eastAsia="宋体" w:cs="宋体"/>
              </w:rPr>
            </w:pPr>
            <w:r>
              <w:rPr>
                <w:rFonts w:hint="eastAsia" w:ascii="宋体" w:hAnsi="宋体" w:eastAsia="宋体" w:cs="宋体"/>
              </w:rPr>
              <w:t>根据施工隐蔽工程记录，加油站埋地敷设的工艺管道符合要求。</w:t>
            </w:r>
          </w:p>
        </w:tc>
        <w:tc>
          <w:tcPr>
            <w:tcW w:w="821" w:type="dxa"/>
            <w:vAlign w:val="center"/>
          </w:tcPr>
          <w:p w14:paraId="68802589">
            <w:pPr>
              <w:bidi w:val="0"/>
              <w:jc w:val="center"/>
              <w:rPr>
                <w:rFonts w:hint="eastAsia" w:ascii="宋体" w:hAnsi="宋体" w:eastAsia="宋体" w:cs="宋体"/>
              </w:rPr>
            </w:pPr>
          </w:p>
          <w:p w14:paraId="061C98DF">
            <w:pPr>
              <w:bidi w:val="0"/>
              <w:jc w:val="center"/>
              <w:rPr>
                <w:rFonts w:hint="eastAsia" w:ascii="宋体" w:hAnsi="宋体" w:eastAsia="宋体" w:cs="宋体"/>
              </w:rPr>
            </w:pPr>
            <w:r>
              <w:rPr>
                <w:rFonts w:hint="eastAsia" w:ascii="宋体" w:hAnsi="宋体" w:eastAsia="宋体" w:cs="宋体"/>
              </w:rPr>
              <w:t>符合</w:t>
            </w:r>
          </w:p>
        </w:tc>
      </w:tr>
      <w:tr w14:paraId="66F2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489" w:type="dxa"/>
            <w:vAlign w:val="center"/>
          </w:tcPr>
          <w:p w14:paraId="50AC159B">
            <w:pPr>
              <w:bidi w:val="0"/>
              <w:jc w:val="center"/>
              <w:rPr>
                <w:rFonts w:hint="eastAsia" w:ascii="宋体" w:hAnsi="宋体" w:eastAsia="宋体" w:cs="宋体"/>
              </w:rPr>
            </w:pPr>
            <w:r>
              <w:rPr>
                <w:rFonts w:hint="eastAsia" w:ascii="宋体" w:hAnsi="宋体" w:eastAsia="宋体" w:cs="宋体"/>
              </w:rPr>
              <w:t>32</w:t>
            </w:r>
          </w:p>
        </w:tc>
        <w:tc>
          <w:tcPr>
            <w:tcW w:w="3315" w:type="dxa"/>
            <w:vAlign w:val="center"/>
          </w:tcPr>
          <w:p w14:paraId="78BF459D">
            <w:pPr>
              <w:bidi w:val="0"/>
              <w:jc w:val="left"/>
              <w:rPr>
                <w:rFonts w:hint="eastAsia" w:ascii="宋体" w:hAnsi="宋体" w:eastAsia="宋体" w:cs="宋体"/>
              </w:rPr>
            </w:pPr>
            <w:r>
              <w:rPr>
                <w:rFonts w:hint="eastAsia" w:ascii="宋体" w:hAnsi="宋体" w:eastAsia="宋体" w:cs="宋体"/>
              </w:rPr>
              <w:t>埋地工艺管道的埋设深度不得小</w:t>
            </w:r>
          </w:p>
          <w:p w14:paraId="26F96950">
            <w:pPr>
              <w:bidi w:val="0"/>
              <w:jc w:val="left"/>
              <w:rPr>
                <w:rFonts w:hint="eastAsia" w:ascii="宋体" w:hAnsi="宋体" w:eastAsia="宋体" w:cs="宋体"/>
              </w:rPr>
            </w:pPr>
            <w:r>
              <w:rPr>
                <w:rFonts w:hint="eastAsia" w:ascii="宋体" w:hAnsi="宋体" w:eastAsia="宋体" w:cs="宋体"/>
              </w:rPr>
              <w:t>于0.4m。敷设在混凝土场地或道路下面的管道，管顶低于混凝土层下表面不得小于0.2m。管道周围应回填不小于100mm厚的中性沙子或细土。</w:t>
            </w:r>
          </w:p>
        </w:tc>
        <w:tc>
          <w:tcPr>
            <w:tcW w:w="2734" w:type="dxa"/>
            <w:vAlign w:val="center"/>
          </w:tcPr>
          <w:p w14:paraId="72A0927A">
            <w:pPr>
              <w:bidi w:val="0"/>
              <w:jc w:val="center"/>
              <w:rPr>
                <w:rFonts w:hint="eastAsia" w:ascii="宋体" w:hAnsi="宋体" w:eastAsia="宋体" w:cs="宋体"/>
              </w:rPr>
            </w:pPr>
          </w:p>
          <w:p w14:paraId="53D27D9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27D4DF2A">
            <w:pPr>
              <w:bidi w:val="0"/>
              <w:jc w:val="center"/>
              <w:rPr>
                <w:rFonts w:hint="eastAsia" w:ascii="宋体" w:hAnsi="宋体" w:eastAsia="宋体" w:cs="宋体"/>
              </w:rPr>
            </w:pPr>
            <w:r>
              <w:rPr>
                <w:rFonts w:hint="eastAsia" w:ascii="宋体" w:hAnsi="宋体" w:eastAsia="宋体" w:cs="宋体"/>
              </w:rPr>
              <w:t>第6.3.17条</w:t>
            </w:r>
          </w:p>
        </w:tc>
        <w:tc>
          <w:tcPr>
            <w:tcW w:w="2045" w:type="dxa"/>
            <w:vAlign w:val="center"/>
          </w:tcPr>
          <w:p w14:paraId="2CB6E54C">
            <w:pPr>
              <w:bidi w:val="0"/>
              <w:jc w:val="center"/>
              <w:rPr>
                <w:rFonts w:hint="eastAsia" w:ascii="宋体" w:hAnsi="宋体" w:eastAsia="宋体" w:cs="宋体"/>
              </w:rPr>
            </w:pPr>
            <w:r>
              <w:rPr>
                <w:rFonts w:hint="eastAsia" w:ascii="宋体" w:hAnsi="宋体" w:eastAsia="宋体" w:cs="宋体"/>
              </w:rPr>
              <w:t>埋地工艺管道的埋设符合要求。</w:t>
            </w:r>
          </w:p>
        </w:tc>
        <w:tc>
          <w:tcPr>
            <w:tcW w:w="821" w:type="dxa"/>
            <w:vAlign w:val="center"/>
          </w:tcPr>
          <w:p w14:paraId="748015BF">
            <w:pPr>
              <w:bidi w:val="0"/>
              <w:jc w:val="center"/>
              <w:rPr>
                <w:rFonts w:hint="eastAsia" w:ascii="宋体" w:hAnsi="宋体" w:eastAsia="宋体" w:cs="宋体"/>
              </w:rPr>
            </w:pPr>
            <w:r>
              <w:rPr>
                <w:rFonts w:hint="eastAsia" w:ascii="宋体" w:hAnsi="宋体" w:eastAsia="宋体" w:cs="宋体"/>
              </w:rPr>
              <w:t>符合</w:t>
            </w:r>
          </w:p>
        </w:tc>
      </w:tr>
      <w:tr w14:paraId="33A78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489" w:type="dxa"/>
            <w:vAlign w:val="center"/>
          </w:tcPr>
          <w:p w14:paraId="32CD7A53">
            <w:pPr>
              <w:bidi w:val="0"/>
              <w:jc w:val="center"/>
              <w:rPr>
                <w:rFonts w:hint="eastAsia" w:ascii="宋体" w:hAnsi="宋体" w:eastAsia="宋体" w:cs="宋体"/>
              </w:rPr>
            </w:pPr>
            <w:r>
              <w:rPr>
                <w:rFonts w:hint="eastAsia" w:ascii="宋体" w:hAnsi="宋体" w:eastAsia="宋体" w:cs="宋体"/>
              </w:rPr>
              <w:t>33</w:t>
            </w:r>
          </w:p>
        </w:tc>
        <w:tc>
          <w:tcPr>
            <w:tcW w:w="3315" w:type="dxa"/>
            <w:vAlign w:val="center"/>
          </w:tcPr>
          <w:p w14:paraId="4B86B08F">
            <w:pPr>
              <w:bidi w:val="0"/>
              <w:jc w:val="left"/>
              <w:rPr>
                <w:rFonts w:hint="eastAsia" w:ascii="宋体" w:hAnsi="宋体" w:eastAsia="宋体" w:cs="宋体"/>
              </w:rPr>
            </w:pPr>
            <w:r>
              <w:rPr>
                <w:rFonts w:hint="eastAsia" w:ascii="宋体" w:hAnsi="宋体" w:eastAsia="宋体" w:cs="宋体"/>
              </w:rPr>
              <w:t>工艺管道不应穿过或跨越站房等与其无直接关系的建（构）筑物；与管沟、电缆沟和排水沟相交叉时，应采取相应的防护措施。</w:t>
            </w:r>
          </w:p>
        </w:tc>
        <w:tc>
          <w:tcPr>
            <w:tcW w:w="2734" w:type="dxa"/>
            <w:vAlign w:val="center"/>
          </w:tcPr>
          <w:p w14:paraId="005EA9C3">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6FCC6C6B">
            <w:pPr>
              <w:bidi w:val="0"/>
              <w:jc w:val="center"/>
              <w:rPr>
                <w:rFonts w:hint="eastAsia" w:ascii="宋体" w:hAnsi="宋体" w:eastAsia="宋体" w:cs="宋体"/>
              </w:rPr>
            </w:pPr>
            <w:r>
              <w:rPr>
                <w:rFonts w:hint="eastAsia" w:ascii="宋体" w:hAnsi="宋体" w:eastAsia="宋体" w:cs="宋体"/>
              </w:rPr>
              <w:t>第6.3.18条</w:t>
            </w:r>
          </w:p>
        </w:tc>
        <w:tc>
          <w:tcPr>
            <w:tcW w:w="2045" w:type="dxa"/>
            <w:vAlign w:val="center"/>
          </w:tcPr>
          <w:p w14:paraId="43DF8233">
            <w:pPr>
              <w:bidi w:val="0"/>
              <w:jc w:val="center"/>
              <w:rPr>
                <w:rFonts w:hint="eastAsia" w:ascii="宋体" w:hAnsi="宋体" w:eastAsia="宋体" w:cs="宋体"/>
              </w:rPr>
            </w:pPr>
            <w:r>
              <w:rPr>
                <w:rFonts w:hint="eastAsia" w:ascii="宋体" w:hAnsi="宋体" w:eastAsia="宋体" w:cs="宋体"/>
              </w:rPr>
              <w:t>工艺管道未穿过或跨越站房等与其无直接关系的建（构）筑物，未与管沟、电缆沟和排水沟相交叉。</w:t>
            </w:r>
          </w:p>
        </w:tc>
        <w:tc>
          <w:tcPr>
            <w:tcW w:w="821" w:type="dxa"/>
            <w:vAlign w:val="center"/>
          </w:tcPr>
          <w:p w14:paraId="42551152">
            <w:pPr>
              <w:bidi w:val="0"/>
              <w:jc w:val="center"/>
              <w:rPr>
                <w:rFonts w:hint="eastAsia" w:ascii="宋体" w:hAnsi="宋体" w:eastAsia="宋体" w:cs="宋体"/>
              </w:rPr>
            </w:pPr>
            <w:r>
              <w:rPr>
                <w:rFonts w:hint="eastAsia" w:ascii="宋体" w:hAnsi="宋体" w:eastAsia="宋体" w:cs="宋体"/>
              </w:rPr>
              <w:t>符合</w:t>
            </w:r>
          </w:p>
        </w:tc>
      </w:tr>
      <w:tr w14:paraId="05722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489" w:type="dxa"/>
            <w:vAlign w:val="center"/>
          </w:tcPr>
          <w:p w14:paraId="79A0A560">
            <w:pPr>
              <w:bidi w:val="0"/>
              <w:jc w:val="center"/>
              <w:rPr>
                <w:rFonts w:hint="eastAsia" w:ascii="宋体" w:hAnsi="宋体" w:eastAsia="宋体" w:cs="宋体"/>
              </w:rPr>
            </w:pPr>
            <w:r>
              <w:rPr>
                <w:rFonts w:hint="eastAsia" w:ascii="宋体" w:hAnsi="宋体" w:eastAsia="宋体" w:cs="宋体"/>
              </w:rPr>
              <w:t>34</w:t>
            </w:r>
          </w:p>
        </w:tc>
        <w:tc>
          <w:tcPr>
            <w:tcW w:w="3315" w:type="dxa"/>
            <w:vAlign w:val="center"/>
          </w:tcPr>
          <w:p w14:paraId="1725C004">
            <w:pPr>
              <w:bidi w:val="0"/>
              <w:jc w:val="left"/>
              <w:rPr>
                <w:rFonts w:hint="eastAsia" w:ascii="宋体" w:hAnsi="宋体" w:eastAsia="宋体" w:cs="宋体"/>
              </w:rPr>
            </w:pPr>
            <w:r>
              <w:rPr>
                <w:rFonts w:hint="eastAsia" w:ascii="宋体" w:hAnsi="宋体" w:eastAsia="宋体" w:cs="宋体"/>
              </w:rPr>
              <w:t>加油站埋地油罐应采用下列之一的防渗方式：</w:t>
            </w:r>
          </w:p>
          <w:p w14:paraId="66A387E4">
            <w:pPr>
              <w:bidi w:val="0"/>
              <w:jc w:val="left"/>
              <w:rPr>
                <w:rFonts w:hint="eastAsia" w:ascii="宋体" w:hAnsi="宋体" w:eastAsia="宋体" w:cs="宋体"/>
              </w:rPr>
            </w:pPr>
            <w:r>
              <w:rPr>
                <w:rFonts w:hint="eastAsia" w:ascii="宋体" w:hAnsi="宋体" w:eastAsia="宋体" w:cs="宋体"/>
              </w:rPr>
              <w:t>（1）采用双层油罐；</w:t>
            </w:r>
          </w:p>
          <w:p w14:paraId="695ECAAA">
            <w:pPr>
              <w:bidi w:val="0"/>
              <w:jc w:val="left"/>
              <w:rPr>
                <w:rFonts w:hint="eastAsia" w:ascii="宋体" w:hAnsi="宋体" w:eastAsia="宋体" w:cs="宋体"/>
              </w:rPr>
            </w:pPr>
            <w:r>
              <w:rPr>
                <w:rFonts w:hint="eastAsia" w:ascii="宋体" w:hAnsi="宋体" w:eastAsia="宋体" w:cs="宋体"/>
              </w:rPr>
              <w:t>（2）单层油罐设置防渗罐池。</w:t>
            </w:r>
          </w:p>
        </w:tc>
        <w:tc>
          <w:tcPr>
            <w:tcW w:w="2734" w:type="dxa"/>
            <w:vAlign w:val="center"/>
          </w:tcPr>
          <w:p w14:paraId="3304E9E6">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7C716B5C">
            <w:pPr>
              <w:bidi w:val="0"/>
              <w:jc w:val="center"/>
              <w:rPr>
                <w:rFonts w:hint="eastAsia" w:ascii="宋体" w:hAnsi="宋体" w:eastAsia="宋体" w:cs="宋体"/>
              </w:rPr>
            </w:pPr>
            <w:r>
              <w:rPr>
                <w:rFonts w:hint="eastAsia" w:ascii="宋体" w:hAnsi="宋体" w:eastAsia="宋体" w:cs="宋体"/>
              </w:rPr>
              <w:t>第6.5.1条</w:t>
            </w:r>
          </w:p>
        </w:tc>
        <w:tc>
          <w:tcPr>
            <w:tcW w:w="2045" w:type="dxa"/>
            <w:vAlign w:val="center"/>
          </w:tcPr>
          <w:p w14:paraId="3B954D00">
            <w:pPr>
              <w:bidi w:val="0"/>
              <w:jc w:val="both"/>
              <w:rPr>
                <w:rFonts w:hint="eastAsia" w:ascii="宋体" w:hAnsi="宋体" w:eastAsia="宋体" w:cs="宋体"/>
              </w:rPr>
            </w:pPr>
            <w:r>
              <w:rPr>
                <w:rFonts w:hint="eastAsia" w:ascii="宋体" w:hAnsi="宋体" w:eastAsia="宋体" w:cs="宋体"/>
              </w:rPr>
              <w:t>加油站采用双层罐。</w:t>
            </w:r>
          </w:p>
        </w:tc>
        <w:tc>
          <w:tcPr>
            <w:tcW w:w="821" w:type="dxa"/>
            <w:vAlign w:val="center"/>
          </w:tcPr>
          <w:p w14:paraId="12F3B774">
            <w:pPr>
              <w:bidi w:val="0"/>
              <w:jc w:val="center"/>
              <w:rPr>
                <w:rFonts w:hint="eastAsia" w:ascii="宋体" w:hAnsi="宋体" w:eastAsia="宋体" w:cs="宋体"/>
              </w:rPr>
            </w:pPr>
            <w:r>
              <w:rPr>
                <w:rFonts w:hint="eastAsia" w:ascii="宋体" w:hAnsi="宋体" w:eastAsia="宋体" w:cs="宋体"/>
              </w:rPr>
              <w:t>符合</w:t>
            </w:r>
          </w:p>
        </w:tc>
      </w:tr>
      <w:tr w14:paraId="2765C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89" w:type="dxa"/>
            <w:vAlign w:val="center"/>
          </w:tcPr>
          <w:p w14:paraId="7683A1B3">
            <w:pPr>
              <w:bidi w:val="0"/>
              <w:jc w:val="center"/>
              <w:rPr>
                <w:rFonts w:hint="eastAsia" w:ascii="宋体" w:hAnsi="宋体" w:eastAsia="宋体" w:cs="宋体"/>
              </w:rPr>
            </w:pPr>
            <w:r>
              <w:rPr>
                <w:rFonts w:hint="eastAsia" w:ascii="宋体" w:hAnsi="宋体" w:eastAsia="宋体" w:cs="宋体"/>
              </w:rPr>
              <w:t>35</w:t>
            </w:r>
          </w:p>
        </w:tc>
        <w:tc>
          <w:tcPr>
            <w:tcW w:w="3315" w:type="dxa"/>
            <w:vAlign w:val="center"/>
          </w:tcPr>
          <w:p w14:paraId="758E1779">
            <w:pPr>
              <w:bidi w:val="0"/>
              <w:jc w:val="left"/>
              <w:rPr>
                <w:rFonts w:hint="eastAsia" w:ascii="宋体" w:hAnsi="宋体" w:eastAsia="宋体" w:cs="宋体"/>
              </w:rPr>
            </w:pPr>
            <w:r>
              <w:rPr>
                <w:rFonts w:hint="eastAsia" w:ascii="宋体" w:hAnsi="宋体" w:eastAsia="宋体" w:cs="宋体"/>
              </w:rPr>
              <w:t>装有潜油泵的油罐人孔操作井、卸油口井、加油机底槽等可能发生油品渗漏的部位，也应采取相应的防渗措施。</w:t>
            </w:r>
          </w:p>
        </w:tc>
        <w:tc>
          <w:tcPr>
            <w:tcW w:w="2734" w:type="dxa"/>
            <w:vAlign w:val="center"/>
          </w:tcPr>
          <w:p w14:paraId="482EF43E">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534D86AB">
            <w:pPr>
              <w:bidi w:val="0"/>
              <w:jc w:val="center"/>
              <w:rPr>
                <w:rFonts w:hint="eastAsia" w:ascii="宋体" w:hAnsi="宋体" w:eastAsia="宋体" w:cs="宋体"/>
              </w:rPr>
            </w:pPr>
            <w:r>
              <w:rPr>
                <w:rFonts w:hint="eastAsia" w:ascii="宋体" w:hAnsi="宋体" w:eastAsia="宋体" w:cs="宋体"/>
              </w:rPr>
              <w:t>第6.5.4条</w:t>
            </w:r>
          </w:p>
        </w:tc>
        <w:tc>
          <w:tcPr>
            <w:tcW w:w="2045" w:type="dxa"/>
            <w:vAlign w:val="center"/>
          </w:tcPr>
          <w:p w14:paraId="3AB3E3FF">
            <w:pPr>
              <w:bidi w:val="0"/>
              <w:jc w:val="center"/>
              <w:rPr>
                <w:rFonts w:hint="eastAsia" w:ascii="宋体" w:hAnsi="宋体" w:eastAsia="宋体" w:cs="宋体"/>
              </w:rPr>
            </w:pPr>
            <w:r>
              <w:rPr>
                <w:rFonts w:hint="eastAsia" w:ascii="宋体" w:hAnsi="宋体" w:eastAsia="宋体" w:cs="宋体"/>
              </w:rPr>
              <w:t>油罐人孔操作井、卸油口井、加油机底槽采取相应的防渗措施</w:t>
            </w:r>
          </w:p>
        </w:tc>
        <w:tc>
          <w:tcPr>
            <w:tcW w:w="821" w:type="dxa"/>
            <w:vAlign w:val="center"/>
          </w:tcPr>
          <w:p w14:paraId="56B58DA4">
            <w:pPr>
              <w:bidi w:val="0"/>
              <w:jc w:val="center"/>
              <w:rPr>
                <w:rFonts w:hint="eastAsia" w:ascii="宋体" w:hAnsi="宋体" w:eastAsia="宋体" w:cs="宋体"/>
              </w:rPr>
            </w:pPr>
            <w:r>
              <w:rPr>
                <w:rFonts w:hint="eastAsia" w:ascii="宋体" w:hAnsi="宋体" w:eastAsia="宋体" w:cs="宋体"/>
              </w:rPr>
              <w:t>符合</w:t>
            </w:r>
          </w:p>
        </w:tc>
      </w:tr>
      <w:tr w14:paraId="0824F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489" w:type="dxa"/>
            <w:vAlign w:val="center"/>
          </w:tcPr>
          <w:p w14:paraId="4E0D48A6">
            <w:pPr>
              <w:bidi w:val="0"/>
              <w:jc w:val="center"/>
              <w:rPr>
                <w:rFonts w:hint="eastAsia" w:ascii="宋体" w:hAnsi="宋体" w:eastAsia="宋体" w:cs="宋体"/>
              </w:rPr>
            </w:pPr>
            <w:r>
              <w:rPr>
                <w:rFonts w:hint="eastAsia" w:ascii="宋体" w:hAnsi="宋体" w:eastAsia="宋体" w:cs="宋体"/>
              </w:rPr>
              <w:t>36</w:t>
            </w:r>
          </w:p>
        </w:tc>
        <w:tc>
          <w:tcPr>
            <w:tcW w:w="3315" w:type="dxa"/>
            <w:vAlign w:val="center"/>
          </w:tcPr>
          <w:p w14:paraId="684A72E3">
            <w:pPr>
              <w:bidi w:val="0"/>
              <w:jc w:val="left"/>
              <w:rPr>
                <w:rFonts w:hint="eastAsia" w:ascii="宋体" w:hAnsi="宋体" w:eastAsia="宋体" w:cs="宋体"/>
              </w:rPr>
            </w:pPr>
            <w:r>
              <w:rPr>
                <w:rFonts w:hint="eastAsia" w:ascii="宋体" w:hAnsi="宋体" w:eastAsia="宋体" w:cs="宋体"/>
              </w:rPr>
              <w:t>双层油罐、防渗罐池的渗漏检测宜采用在线监测系统。采用液体传感器监测时，传感器的检测精度不应大于3.5mm。</w:t>
            </w:r>
          </w:p>
        </w:tc>
        <w:tc>
          <w:tcPr>
            <w:tcW w:w="2734" w:type="dxa"/>
            <w:vAlign w:val="center"/>
          </w:tcPr>
          <w:p w14:paraId="1244F8EB">
            <w:pPr>
              <w:bidi w:val="0"/>
              <w:jc w:val="center"/>
              <w:rPr>
                <w:rFonts w:hint="eastAsia" w:ascii="宋体" w:hAnsi="宋体" w:eastAsia="宋体" w:cs="宋体"/>
              </w:rPr>
            </w:pPr>
            <w:r>
              <w:rPr>
                <w:rFonts w:hint="eastAsia" w:ascii="宋体" w:hAnsi="宋体" w:eastAsia="宋体" w:cs="宋体"/>
              </w:rPr>
              <w:t>《汽车加油加气加氢站技术标准》（GB50156-2021）</w:t>
            </w:r>
          </w:p>
          <w:p w14:paraId="42A74517">
            <w:pPr>
              <w:bidi w:val="0"/>
              <w:jc w:val="center"/>
              <w:rPr>
                <w:rFonts w:hint="eastAsia" w:ascii="宋体" w:hAnsi="宋体" w:eastAsia="宋体" w:cs="宋体"/>
              </w:rPr>
            </w:pPr>
            <w:r>
              <w:rPr>
                <w:rFonts w:hint="eastAsia" w:ascii="宋体" w:hAnsi="宋体" w:eastAsia="宋体" w:cs="宋体"/>
              </w:rPr>
              <w:t>第6.5.6条</w:t>
            </w:r>
          </w:p>
        </w:tc>
        <w:tc>
          <w:tcPr>
            <w:tcW w:w="2045" w:type="dxa"/>
            <w:vAlign w:val="center"/>
          </w:tcPr>
          <w:p w14:paraId="318EE1C0">
            <w:pPr>
              <w:bidi w:val="0"/>
              <w:jc w:val="center"/>
              <w:rPr>
                <w:rFonts w:hint="eastAsia" w:ascii="宋体" w:hAnsi="宋体" w:eastAsia="宋体" w:cs="宋体"/>
              </w:rPr>
            </w:pPr>
            <w:r>
              <w:rPr>
                <w:rFonts w:hint="eastAsia" w:ascii="宋体" w:hAnsi="宋体" w:eastAsia="宋体" w:cs="宋体"/>
              </w:rPr>
              <w:t>加油站设置有防渗漏</w:t>
            </w:r>
            <w:r>
              <w:rPr>
                <w:rFonts w:hint="eastAsia" w:ascii="宋体" w:hAnsi="宋体" w:eastAsia="宋体" w:cs="宋体"/>
                <w:lang w:eastAsia="zh-CN"/>
              </w:rPr>
              <w:t>检测</w:t>
            </w:r>
            <w:r>
              <w:rPr>
                <w:rFonts w:hint="eastAsia" w:ascii="宋体" w:hAnsi="宋体" w:eastAsia="宋体" w:cs="宋体"/>
              </w:rPr>
              <w:t>系统。</w:t>
            </w:r>
          </w:p>
        </w:tc>
        <w:tc>
          <w:tcPr>
            <w:tcW w:w="821" w:type="dxa"/>
            <w:vAlign w:val="center"/>
          </w:tcPr>
          <w:p w14:paraId="4C196E79">
            <w:pPr>
              <w:bidi w:val="0"/>
              <w:jc w:val="center"/>
              <w:rPr>
                <w:rFonts w:hint="eastAsia" w:ascii="宋体" w:hAnsi="宋体" w:eastAsia="宋体" w:cs="宋体"/>
              </w:rPr>
            </w:pPr>
            <w:r>
              <w:rPr>
                <w:rFonts w:hint="eastAsia" w:ascii="宋体" w:hAnsi="宋体" w:eastAsia="宋体" w:cs="宋体"/>
              </w:rPr>
              <w:t>符合</w:t>
            </w:r>
          </w:p>
        </w:tc>
      </w:tr>
    </w:tbl>
    <w:p w14:paraId="20EF16D2">
      <w:pPr>
        <w:pStyle w:val="4"/>
        <w:keepNext/>
        <w:keepLines/>
        <w:pageBreakBefore w:val="0"/>
        <w:widowControl w:val="0"/>
        <w:kinsoku/>
        <w:wordWrap/>
        <w:overflowPunct/>
        <w:topLinePunct w:val="0"/>
        <w:autoSpaceDE/>
        <w:autoSpaceDN/>
        <w:bidi w:val="0"/>
        <w:adjustRightInd/>
        <w:snapToGrid/>
        <w:spacing w:before="0" w:after="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54" w:name="_Toc24316"/>
      <w:bookmarkStart w:id="455" w:name="_Toc15865"/>
      <w:bookmarkStart w:id="456" w:name="_Toc19899"/>
      <w:r>
        <w:rPr>
          <w:rFonts w:hint="eastAsia" w:ascii="宋体" w:hAnsi="宋体" w:eastAsia="宋体" w:cs="宋体"/>
          <w:b/>
          <w:color w:val="000000" w:themeColor="text1"/>
          <w:sz w:val="30"/>
          <w:szCs w:val="30"/>
          <w:lang w:val="en-US" w:eastAsia="zh-CN"/>
          <w14:textFill>
            <w14:solidFill>
              <w14:schemeClr w14:val="tx1"/>
            </w14:solidFill>
          </w14:textFill>
        </w:rPr>
        <w:t>7.2.2单元小节</w:t>
      </w:r>
      <w:bookmarkEnd w:id="454"/>
      <w:bookmarkEnd w:id="455"/>
      <w:bookmarkEnd w:id="456"/>
    </w:p>
    <w:p w14:paraId="5F39E0B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以上分析，该加油站经油罐改造后，采用双层油罐，埋地设置，油罐设置通气管，通气管管口安装阻火器；加油机布置在加油区的罩棚下的加油岛上；卸油采用密闭卸油方式；汽油采用潜油泵加油工艺，设置汽油加油、卸油油气回收装置；工艺成熟，设施可靠。其工艺及设施满足《汽车加油加气加氢站技术标准》（GB50156-2021）的要求。</w:t>
      </w:r>
    </w:p>
    <w:p w14:paraId="4FE7A99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p>
    <w:p w14:paraId="2BA39CC1">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520" w:lineRule="exact"/>
        <w:jc w:val="both"/>
        <w:textAlignment w:val="auto"/>
        <w:outlineLvl w:val="1"/>
        <w:rPr>
          <w:rFonts w:hint="eastAsia" w:ascii="宋体" w:hAnsi="宋体" w:eastAsia="宋体" w:cs="宋体"/>
          <w:b/>
          <w:smallCaps/>
          <w:color w:val="auto"/>
          <w:kern w:val="0"/>
          <w:sz w:val="32"/>
          <w:szCs w:val="32"/>
          <w:lang w:val="en-US" w:eastAsia="zh-CN"/>
        </w:rPr>
      </w:pPr>
      <w:bookmarkStart w:id="457" w:name="_Toc16650"/>
      <w:bookmarkStart w:id="458" w:name="_Toc18996"/>
      <w:bookmarkStart w:id="459" w:name="_Toc7846"/>
      <w:bookmarkStart w:id="460" w:name="_Toc1907"/>
      <w:r>
        <w:rPr>
          <w:rFonts w:hint="eastAsia" w:ascii="宋体" w:hAnsi="宋体" w:eastAsia="宋体" w:cs="宋体"/>
          <w:b/>
          <w:smallCaps/>
          <w:color w:val="auto"/>
          <w:kern w:val="0"/>
          <w:sz w:val="32"/>
          <w:szCs w:val="32"/>
          <w:lang w:val="en-US" w:eastAsia="zh-CN"/>
        </w:rPr>
        <w:t>7.3公辅设施单元</w:t>
      </w:r>
      <w:bookmarkEnd w:id="457"/>
      <w:bookmarkEnd w:id="458"/>
      <w:bookmarkEnd w:id="459"/>
      <w:bookmarkEnd w:id="460"/>
    </w:p>
    <w:p w14:paraId="5719D11F">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61" w:name="_Toc3944"/>
      <w:bookmarkStart w:id="462" w:name="_Toc28827"/>
      <w:bookmarkStart w:id="463" w:name="_Toc6446"/>
      <w:bookmarkStart w:id="464" w:name="_Toc7703"/>
      <w:r>
        <w:rPr>
          <w:rFonts w:hint="eastAsia" w:ascii="宋体" w:hAnsi="宋体" w:eastAsia="宋体" w:cs="宋体"/>
          <w:b/>
          <w:color w:val="000000" w:themeColor="text1"/>
          <w:sz w:val="30"/>
          <w:szCs w:val="30"/>
          <w:lang w:val="en-US" w:eastAsia="zh-CN"/>
          <w14:textFill>
            <w14:solidFill>
              <w14:schemeClr w14:val="tx1"/>
            </w14:solidFill>
          </w14:textFill>
        </w:rPr>
        <w:t>7.3.1公辅设施安全检查评价</w:t>
      </w:r>
      <w:bookmarkEnd w:id="461"/>
      <w:bookmarkEnd w:id="462"/>
      <w:bookmarkEnd w:id="463"/>
      <w:bookmarkEnd w:id="464"/>
    </w:p>
    <w:p w14:paraId="4F89B71F">
      <w:pPr>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9"/>
        <w:rPr>
          <w:rFonts w:hint="default"/>
          <w:b w:val="0"/>
          <w:bCs/>
          <w:sz w:val="28"/>
          <w:szCs w:val="28"/>
          <w:lang w:val="en-US" w:eastAsia="zh-CN"/>
        </w:rPr>
      </w:pPr>
      <w:bookmarkStart w:id="465" w:name="_Toc15744"/>
      <w:r>
        <w:rPr>
          <w:rFonts w:hint="eastAsia" w:ascii="宋体" w:hAnsi="宋体" w:cs="宋体"/>
          <w:b w:val="0"/>
          <w:bCs/>
          <w:color w:val="000000" w:themeColor="text1"/>
          <w:sz w:val="28"/>
          <w:szCs w:val="28"/>
          <w:lang w:val="en-US" w:eastAsia="zh-CN"/>
          <w14:textFill>
            <w14:solidFill>
              <w14:schemeClr w14:val="tx1"/>
            </w14:solidFill>
          </w14:textFill>
        </w:rPr>
        <w:t>7-4</w:t>
      </w:r>
      <w:r>
        <w:rPr>
          <w:rFonts w:hint="eastAsia" w:ascii="宋体" w:hAnsi="宋体" w:eastAsia="宋体" w:cs="宋体"/>
          <w:b w:val="0"/>
          <w:bCs/>
          <w:color w:val="000000" w:themeColor="text1"/>
          <w:sz w:val="28"/>
          <w:szCs w:val="28"/>
          <w:lang w:val="en-US" w:eastAsia="zh-CN"/>
          <w14:textFill>
            <w14:solidFill>
              <w14:schemeClr w14:val="tx1"/>
            </w14:solidFill>
          </w14:textFill>
        </w:rPr>
        <w:t>公辅设施安全检查</w:t>
      </w:r>
      <w:r>
        <w:rPr>
          <w:rFonts w:hint="eastAsia" w:ascii="宋体" w:hAnsi="宋体" w:cs="宋体"/>
          <w:b w:val="0"/>
          <w:bCs/>
          <w:color w:val="000000" w:themeColor="text1"/>
          <w:sz w:val="28"/>
          <w:szCs w:val="28"/>
          <w:lang w:val="en-US" w:eastAsia="zh-CN"/>
          <w14:textFill>
            <w14:solidFill>
              <w14:schemeClr w14:val="tx1"/>
            </w14:solidFill>
          </w14:textFill>
        </w:rPr>
        <w:t>表</w:t>
      </w:r>
      <w:bookmarkEnd w:id="465"/>
    </w:p>
    <w:tbl>
      <w:tblPr>
        <w:tblStyle w:val="41"/>
        <w:tblpPr w:leftFromText="180" w:rightFromText="180" w:vertAnchor="text" w:horzAnchor="page" w:tblpXSpec="center" w:tblpY="55"/>
        <w:tblOverlap w:val="never"/>
        <w:tblW w:w="9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2"/>
        <w:gridCol w:w="3920"/>
        <w:gridCol w:w="2080"/>
        <w:gridCol w:w="2206"/>
        <w:gridCol w:w="686"/>
      </w:tblGrid>
      <w:tr w14:paraId="3DBC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512" w:type="dxa"/>
            <w:vAlign w:val="center"/>
          </w:tcPr>
          <w:p w14:paraId="066B8629">
            <w:pPr>
              <w:bidi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920" w:type="dxa"/>
            <w:vAlign w:val="center"/>
          </w:tcPr>
          <w:p w14:paraId="1EC270F1">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检查内容</w:t>
            </w:r>
          </w:p>
        </w:tc>
        <w:tc>
          <w:tcPr>
            <w:tcW w:w="2080" w:type="dxa"/>
            <w:vAlign w:val="center"/>
          </w:tcPr>
          <w:p w14:paraId="3CCB4186">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检查依据</w:t>
            </w:r>
          </w:p>
        </w:tc>
        <w:tc>
          <w:tcPr>
            <w:tcW w:w="2206" w:type="dxa"/>
            <w:vAlign w:val="center"/>
          </w:tcPr>
          <w:p w14:paraId="3AAC76F9">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检查记录</w:t>
            </w:r>
          </w:p>
        </w:tc>
        <w:tc>
          <w:tcPr>
            <w:tcW w:w="686" w:type="dxa"/>
            <w:vAlign w:val="center"/>
          </w:tcPr>
          <w:p w14:paraId="73E90194">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w:t>
            </w:r>
          </w:p>
          <w:p w14:paraId="04A8D3F7">
            <w:pPr>
              <w:bidi w:val="0"/>
              <w:jc w:val="center"/>
              <w:rPr>
                <w:rFonts w:hint="eastAsia" w:ascii="宋体" w:hAnsi="宋体" w:eastAsia="宋体" w:cs="宋体"/>
                <w:b/>
                <w:bCs/>
                <w:sz w:val="21"/>
                <w:szCs w:val="21"/>
              </w:rPr>
            </w:pPr>
            <w:r>
              <w:rPr>
                <w:rFonts w:hint="eastAsia" w:ascii="宋体" w:hAnsi="宋体" w:eastAsia="宋体" w:cs="宋体"/>
                <w:b/>
                <w:bCs/>
                <w:sz w:val="21"/>
                <w:szCs w:val="21"/>
              </w:rPr>
              <w:t>结果</w:t>
            </w:r>
          </w:p>
        </w:tc>
      </w:tr>
      <w:tr w14:paraId="06A76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2" w:hRule="atLeast"/>
          <w:jc w:val="center"/>
        </w:trPr>
        <w:tc>
          <w:tcPr>
            <w:tcW w:w="512" w:type="dxa"/>
            <w:vAlign w:val="center"/>
          </w:tcPr>
          <w:p w14:paraId="7785C4F6">
            <w:pPr>
              <w:bidi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920" w:type="dxa"/>
            <w:vAlign w:val="center"/>
          </w:tcPr>
          <w:p w14:paraId="73E4BB57">
            <w:pPr>
              <w:bidi w:val="0"/>
              <w:rPr>
                <w:rFonts w:hint="eastAsia" w:ascii="宋体" w:hAnsi="宋体" w:eastAsia="宋体" w:cs="宋体"/>
                <w:sz w:val="21"/>
                <w:szCs w:val="21"/>
              </w:rPr>
            </w:pPr>
            <w:r>
              <w:rPr>
                <w:rFonts w:hint="eastAsia" w:ascii="宋体" w:hAnsi="宋体" w:eastAsia="宋体" w:cs="宋体"/>
                <w:sz w:val="21"/>
                <w:szCs w:val="21"/>
              </w:rPr>
              <w:t>加油加气加氢站工艺设备应配置灭火器材，并应符合下列规定：</w:t>
            </w:r>
          </w:p>
          <w:p w14:paraId="36C3302E">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每2台加气（氢）机应配置不少于2具5kg手提式干粉灭火器，加气（氢）机不足2台应按2台配置；</w:t>
            </w:r>
          </w:p>
          <w:p w14:paraId="45E8114C">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每2台加油机应配置不少于2具5kg手提式干粉灭火器，或1具5kg手提式干粉灭火器和1具6L泡沫灭火器，加油机不足2台应按2台配置；</w:t>
            </w:r>
          </w:p>
          <w:p w14:paraId="19815EAD">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地上LPG储罐、地上LNG储罐、地下和半地下LNG储罐、地上液氢储罐、CNG储气设施，应配置2台不小于35kg推车式干粉灭火器，当两种介质储罐之间的距离超过15m时，应分别配置；</w:t>
            </w:r>
          </w:p>
          <w:p w14:paraId="54FD1E72">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地下储罐应配置1台不小于35kg推车式干粉灭火器，当两种介质储罐之间的距离超过15m时，应分别配置；</w:t>
            </w:r>
          </w:p>
          <w:p w14:paraId="32EE49A6">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LPG泵、LNG泵、液氢增压泵、压缩机操作间（棚、箱），应按建筑面积每50㎡配置不少于2具5kg手提式干粉灭火器；</w:t>
            </w:r>
          </w:p>
          <w:p w14:paraId="0A85B165">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一、二级加油站应配置灭火毯5块、沙子2m³；三级加油站应配置灭火毯不少于2块、沙子2m³。加油加气合建站应按同级别的加油站配置灭火毯和沙子。</w:t>
            </w:r>
          </w:p>
        </w:tc>
        <w:tc>
          <w:tcPr>
            <w:tcW w:w="2080" w:type="dxa"/>
            <w:vAlign w:val="center"/>
          </w:tcPr>
          <w:p w14:paraId="70583F41">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436533F0">
            <w:pPr>
              <w:bidi w:val="0"/>
              <w:jc w:val="center"/>
              <w:rPr>
                <w:rFonts w:hint="eastAsia" w:ascii="宋体" w:hAnsi="宋体" w:eastAsia="宋体" w:cs="宋体"/>
                <w:sz w:val="21"/>
                <w:szCs w:val="21"/>
              </w:rPr>
            </w:pPr>
            <w:r>
              <w:rPr>
                <w:rFonts w:hint="eastAsia" w:ascii="宋体" w:hAnsi="宋体" w:eastAsia="宋体" w:cs="宋体"/>
                <w:sz w:val="21"/>
                <w:szCs w:val="21"/>
              </w:rPr>
              <w:t>（GB50156-2021）</w:t>
            </w:r>
          </w:p>
          <w:p w14:paraId="1CBFF86B">
            <w:pPr>
              <w:bidi w:val="0"/>
              <w:jc w:val="center"/>
              <w:rPr>
                <w:rFonts w:hint="eastAsia" w:ascii="宋体" w:hAnsi="宋体" w:eastAsia="宋体" w:cs="宋体"/>
                <w:sz w:val="21"/>
                <w:szCs w:val="21"/>
              </w:rPr>
            </w:pPr>
            <w:r>
              <w:rPr>
                <w:rFonts w:hint="eastAsia" w:ascii="宋体" w:hAnsi="宋体" w:eastAsia="宋体" w:cs="宋体"/>
                <w:sz w:val="21"/>
                <w:szCs w:val="21"/>
              </w:rPr>
              <w:t>12.1.1</w:t>
            </w:r>
          </w:p>
        </w:tc>
        <w:tc>
          <w:tcPr>
            <w:tcW w:w="2206" w:type="dxa"/>
            <w:vAlign w:val="center"/>
          </w:tcPr>
          <w:p w14:paraId="4360FCF0">
            <w:pPr>
              <w:bidi w:val="0"/>
              <w:jc w:val="center"/>
              <w:rPr>
                <w:rFonts w:hint="eastAsia" w:ascii="宋体" w:hAnsi="宋体" w:eastAsia="宋体" w:cs="宋体"/>
                <w:sz w:val="21"/>
                <w:szCs w:val="21"/>
              </w:rPr>
            </w:pPr>
            <w:r>
              <w:rPr>
                <w:rFonts w:hint="eastAsia" w:ascii="宋体" w:hAnsi="宋体" w:eastAsia="宋体" w:cs="宋体"/>
                <w:sz w:val="21"/>
                <w:szCs w:val="21"/>
              </w:rPr>
              <w:t>按要求配备。</w:t>
            </w:r>
          </w:p>
        </w:tc>
        <w:tc>
          <w:tcPr>
            <w:tcW w:w="686" w:type="dxa"/>
            <w:vAlign w:val="center"/>
          </w:tcPr>
          <w:p w14:paraId="3D65EA24">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37716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jc w:val="center"/>
        </w:trPr>
        <w:tc>
          <w:tcPr>
            <w:tcW w:w="512" w:type="dxa"/>
            <w:vAlign w:val="center"/>
          </w:tcPr>
          <w:p w14:paraId="10DBF542">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920" w:type="dxa"/>
            <w:vAlign w:val="center"/>
          </w:tcPr>
          <w:p w14:paraId="7D0A526C">
            <w:pPr>
              <w:bidi w:val="0"/>
              <w:rPr>
                <w:rFonts w:hint="eastAsia" w:ascii="宋体" w:hAnsi="宋体" w:eastAsia="宋体" w:cs="宋体"/>
                <w:sz w:val="21"/>
                <w:szCs w:val="21"/>
              </w:rPr>
            </w:pPr>
            <w:r>
              <w:rPr>
                <w:rFonts w:hint="eastAsia" w:ascii="宋体" w:hAnsi="宋体" w:eastAsia="宋体" w:cs="宋体"/>
                <w:sz w:val="21"/>
                <w:szCs w:val="21"/>
              </w:rPr>
              <w:t>其余建筑的灭火器材配置应符合现行国家标准《建筑灭火器配置设计规范》（GB50140）的规定。</w:t>
            </w:r>
          </w:p>
        </w:tc>
        <w:tc>
          <w:tcPr>
            <w:tcW w:w="2080" w:type="dxa"/>
            <w:vAlign w:val="center"/>
          </w:tcPr>
          <w:p w14:paraId="0FCD16EA">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1E1D6AA3">
            <w:pPr>
              <w:bidi w:val="0"/>
              <w:jc w:val="center"/>
              <w:rPr>
                <w:rFonts w:hint="eastAsia" w:ascii="宋体" w:hAnsi="宋体" w:eastAsia="宋体" w:cs="宋体"/>
                <w:sz w:val="21"/>
                <w:szCs w:val="21"/>
              </w:rPr>
            </w:pPr>
            <w:r>
              <w:rPr>
                <w:rFonts w:hint="eastAsia" w:ascii="宋体" w:hAnsi="宋体" w:eastAsia="宋体" w:cs="宋体"/>
                <w:sz w:val="21"/>
                <w:szCs w:val="21"/>
              </w:rPr>
              <w:t>（GB50156-2021）</w:t>
            </w:r>
          </w:p>
          <w:p w14:paraId="6C55DD09">
            <w:pPr>
              <w:bidi w:val="0"/>
              <w:jc w:val="center"/>
              <w:rPr>
                <w:rFonts w:hint="eastAsia" w:ascii="宋体" w:hAnsi="宋体" w:eastAsia="宋体" w:cs="宋体"/>
                <w:sz w:val="21"/>
                <w:szCs w:val="21"/>
              </w:rPr>
            </w:pPr>
            <w:r>
              <w:rPr>
                <w:rFonts w:hint="eastAsia" w:ascii="宋体" w:hAnsi="宋体" w:eastAsia="宋体" w:cs="宋体"/>
                <w:sz w:val="21"/>
                <w:szCs w:val="21"/>
              </w:rPr>
              <w:t>12.1.2</w:t>
            </w:r>
          </w:p>
        </w:tc>
        <w:tc>
          <w:tcPr>
            <w:tcW w:w="2206" w:type="dxa"/>
            <w:vAlign w:val="center"/>
          </w:tcPr>
          <w:p w14:paraId="2498253F">
            <w:pPr>
              <w:bidi w:val="0"/>
              <w:jc w:val="center"/>
              <w:rPr>
                <w:rFonts w:hint="eastAsia" w:ascii="宋体" w:hAnsi="宋体" w:eastAsia="宋体" w:cs="宋体"/>
                <w:sz w:val="21"/>
                <w:szCs w:val="21"/>
              </w:rPr>
            </w:pPr>
            <w:r>
              <w:rPr>
                <w:rFonts w:hint="eastAsia" w:ascii="宋体" w:hAnsi="宋体" w:eastAsia="宋体" w:cs="宋体"/>
                <w:sz w:val="21"/>
                <w:szCs w:val="21"/>
              </w:rPr>
              <w:t>按要求配备。</w:t>
            </w:r>
          </w:p>
        </w:tc>
        <w:tc>
          <w:tcPr>
            <w:tcW w:w="686" w:type="dxa"/>
            <w:vAlign w:val="center"/>
          </w:tcPr>
          <w:p w14:paraId="111E687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1FFD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jc w:val="center"/>
        </w:trPr>
        <w:tc>
          <w:tcPr>
            <w:tcW w:w="512" w:type="dxa"/>
            <w:vAlign w:val="center"/>
          </w:tcPr>
          <w:p w14:paraId="523B578B">
            <w:pPr>
              <w:bidi w:val="0"/>
              <w:jc w:val="center"/>
              <w:rPr>
                <w:rFonts w:hint="eastAsia" w:ascii="宋体" w:hAnsi="宋体" w:eastAsia="宋体" w:cs="宋体"/>
                <w:sz w:val="21"/>
                <w:szCs w:val="21"/>
              </w:rPr>
            </w:pPr>
            <w:r>
              <w:rPr>
                <w:rFonts w:hint="eastAsia" w:ascii="宋体" w:hAnsi="宋体" w:eastAsia="宋体" w:cs="宋体"/>
                <w:sz w:val="21"/>
                <w:szCs w:val="21"/>
              </w:rPr>
              <w:t>3</w:t>
            </w:r>
          </w:p>
        </w:tc>
        <w:tc>
          <w:tcPr>
            <w:tcW w:w="3920" w:type="dxa"/>
            <w:vAlign w:val="center"/>
          </w:tcPr>
          <w:p w14:paraId="7BD34276">
            <w:pPr>
              <w:bidi w:val="0"/>
              <w:rPr>
                <w:rFonts w:hint="eastAsia" w:ascii="宋体" w:hAnsi="宋体" w:eastAsia="宋体" w:cs="宋体"/>
                <w:sz w:val="21"/>
                <w:szCs w:val="21"/>
              </w:rPr>
            </w:pPr>
            <w:r>
              <w:rPr>
                <w:rFonts w:hint="eastAsia" w:ascii="宋体" w:hAnsi="宋体" w:eastAsia="宋体" w:cs="宋体"/>
                <w:sz w:val="21"/>
                <w:szCs w:val="21"/>
              </w:rPr>
              <w:t>加油站、CNG加气站、三级LNG加气站和采用埋地、地下、半地下LNG储罐的各级LNG加气站及合建站，可不设消防给水系统。合建站中地上LNG储罐总容</w:t>
            </w:r>
            <w:r>
              <w:rPr>
                <w:rFonts w:hint="eastAsia" w:ascii="宋体" w:hAnsi="宋体" w:eastAsia="宋体" w:cs="宋体"/>
                <w:spacing w:val="3"/>
                <w:sz w:val="21"/>
                <w:szCs w:val="21"/>
              </w:rPr>
              <w:t>积不大于60m³时，可不设消防给水系统。</w:t>
            </w:r>
          </w:p>
        </w:tc>
        <w:tc>
          <w:tcPr>
            <w:tcW w:w="2080" w:type="dxa"/>
            <w:vAlign w:val="center"/>
          </w:tcPr>
          <w:p w14:paraId="760D8B66">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06FC9B91">
            <w:pPr>
              <w:bidi w:val="0"/>
              <w:jc w:val="center"/>
              <w:rPr>
                <w:rFonts w:hint="eastAsia" w:ascii="宋体" w:hAnsi="宋体" w:eastAsia="宋体" w:cs="宋体"/>
                <w:sz w:val="21"/>
                <w:szCs w:val="21"/>
              </w:rPr>
            </w:pPr>
            <w:r>
              <w:rPr>
                <w:rFonts w:hint="eastAsia" w:ascii="宋体" w:hAnsi="宋体" w:eastAsia="宋体" w:cs="宋体"/>
                <w:sz w:val="21"/>
                <w:szCs w:val="21"/>
              </w:rPr>
              <w:t>（GB50156-2021）</w:t>
            </w:r>
          </w:p>
          <w:p w14:paraId="442CEF88">
            <w:pPr>
              <w:bidi w:val="0"/>
              <w:jc w:val="center"/>
              <w:rPr>
                <w:rFonts w:hint="eastAsia" w:ascii="宋体" w:hAnsi="宋体" w:eastAsia="宋体" w:cs="宋体"/>
                <w:sz w:val="21"/>
                <w:szCs w:val="21"/>
              </w:rPr>
            </w:pPr>
            <w:r>
              <w:rPr>
                <w:rFonts w:hint="eastAsia" w:ascii="宋体" w:hAnsi="宋体" w:eastAsia="宋体" w:cs="宋体"/>
                <w:sz w:val="21"/>
                <w:szCs w:val="21"/>
              </w:rPr>
              <w:t>12.2.3</w:t>
            </w:r>
          </w:p>
        </w:tc>
        <w:tc>
          <w:tcPr>
            <w:tcW w:w="2206" w:type="dxa"/>
            <w:vAlign w:val="center"/>
          </w:tcPr>
          <w:p w14:paraId="49F54A98">
            <w:pPr>
              <w:bidi w:val="0"/>
              <w:jc w:val="center"/>
              <w:rPr>
                <w:rFonts w:hint="eastAsia" w:ascii="宋体" w:hAnsi="宋体" w:eastAsia="宋体" w:cs="宋体"/>
                <w:sz w:val="21"/>
                <w:szCs w:val="21"/>
              </w:rPr>
            </w:pPr>
            <w:r>
              <w:rPr>
                <w:rFonts w:hint="eastAsia" w:ascii="宋体" w:hAnsi="宋体" w:eastAsia="宋体" w:cs="宋体"/>
                <w:sz w:val="21"/>
                <w:szCs w:val="21"/>
              </w:rPr>
              <w:t>加油站未设消防给水系统，依托当地供水管网，但配备有相应消防设施。</w:t>
            </w:r>
          </w:p>
        </w:tc>
        <w:tc>
          <w:tcPr>
            <w:tcW w:w="686" w:type="dxa"/>
            <w:vAlign w:val="center"/>
          </w:tcPr>
          <w:p w14:paraId="3BD15DDA">
            <w:pPr>
              <w:bidi w:val="0"/>
              <w:jc w:val="center"/>
              <w:rPr>
                <w:rFonts w:hint="eastAsia" w:ascii="宋体" w:hAnsi="宋体" w:eastAsia="宋体" w:cs="宋体"/>
                <w:sz w:val="21"/>
                <w:szCs w:val="21"/>
              </w:rPr>
            </w:pPr>
          </w:p>
          <w:p w14:paraId="19CED9F9">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bl>
    <w:tbl>
      <w:tblPr>
        <w:tblStyle w:val="41"/>
        <w:tblW w:w="9400"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3924"/>
        <w:gridCol w:w="2080"/>
        <w:gridCol w:w="2193"/>
        <w:gridCol w:w="693"/>
      </w:tblGrid>
      <w:tr w14:paraId="1CDD0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510" w:type="dxa"/>
            <w:vAlign w:val="center"/>
          </w:tcPr>
          <w:p w14:paraId="43C982A4">
            <w:pPr>
              <w:bidi w:val="0"/>
              <w:jc w:val="center"/>
              <w:rPr>
                <w:rFonts w:hint="eastAsia" w:ascii="宋体" w:hAnsi="宋体" w:eastAsia="宋体" w:cs="宋体"/>
                <w:sz w:val="21"/>
                <w:szCs w:val="21"/>
              </w:rPr>
            </w:pPr>
            <w:r>
              <w:rPr>
                <w:rFonts w:hint="eastAsia" w:ascii="宋体" w:hAnsi="宋体" w:eastAsia="宋体" w:cs="宋体"/>
                <w:sz w:val="21"/>
                <w:szCs w:val="21"/>
              </w:rPr>
              <w:t>4</w:t>
            </w:r>
          </w:p>
        </w:tc>
        <w:tc>
          <w:tcPr>
            <w:tcW w:w="3924" w:type="dxa"/>
            <w:vAlign w:val="top"/>
          </w:tcPr>
          <w:p w14:paraId="4E7C1A37">
            <w:pPr>
              <w:bidi w:val="0"/>
              <w:rPr>
                <w:rFonts w:hint="eastAsia" w:ascii="宋体" w:hAnsi="宋体" w:eastAsia="宋体" w:cs="宋体"/>
                <w:sz w:val="21"/>
                <w:szCs w:val="21"/>
              </w:rPr>
            </w:pPr>
            <w:r>
              <w:rPr>
                <w:rFonts w:hint="eastAsia" w:ascii="宋体" w:hAnsi="宋体" w:eastAsia="宋体" w:cs="宋体"/>
                <w:sz w:val="21"/>
                <w:szCs w:val="21"/>
              </w:rPr>
              <w:t>汽车加油加气加氢站的排水应符合下列规定：</w:t>
            </w:r>
          </w:p>
          <w:p w14:paraId="5AC2B1F1">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站内地面雨水可散流排出站外。当雨水有明沟排到站外时，在排出围墙之前，应设置水封装置。</w:t>
            </w:r>
          </w:p>
          <w:p w14:paraId="1002868F">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加油站排出建筑物或围墙的污水，在建筑物墙外或围墙内应分别设水封井。水封井的水封高度不应小于0.25m。水封井应设沉泥段。沉泥段高度不应小于0.25m。</w:t>
            </w:r>
          </w:p>
          <w:p w14:paraId="0E26B53F">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清洗油罐的污水应集中收集处理，不应直接进入排水管道。</w:t>
            </w:r>
          </w:p>
          <w:p w14:paraId="4A2F1D0E">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排出站外的污水应符合国家现行有关污水排放标准的规定。</w:t>
            </w:r>
          </w:p>
          <w:p w14:paraId="1CE7F0B2">
            <w:pPr>
              <w:bidi w:val="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加油站不应采用暗沟排水。</w:t>
            </w:r>
          </w:p>
        </w:tc>
        <w:tc>
          <w:tcPr>
            <w:tcW w:w="2080" w:type="dxa"/>
            <w:vAlign w:val="center"/>
          </w:tcPr>
          <w:p w14:paraId="6BEFC070">
            <w:pPr>
              <w:bidi w:val="0"/>
              <w:jc w:val="center"/>
              <w:rPr>
                <w:rFonts w:hint="eastAsia" w:ascii="宋体" w:hAnsi="宋体" w:eastAsia="宋体" w:cs="宋体"/>
                <w:sz w:val="21"/>
                <w:szCs w:val="21"/>
              </w:rPr>
            </w:pPr>
            <w:r>
              <w:rPr>
                <w:rFonts w:hint="eastAsia" w:ascii="宋体" w:hAnsi="宋体" w:eastAsia="宋体" w:cs="宋体"/>
                <w:sz w:val="21"/>
                <w:szCs w:val="21"/>
              </w:rPr>
              <w:t>《汽车加油加气加氢站技术标准》</w:t>
            </w:r>
          </w:p>
          <w:p w14:paraId="3DD7FCBE">
            <w:pPr>
              <w:bidi w:val="0"/>
              <w:jc w:val="center"/>
              <w:rPr>
                <w:rFonts w:hint="eastAsia" w:ascii="宋体" w:hAnsi="宋体" w:eastAsia="宋体" w:cs="宋体"/>
                <w:sz w:val="21"/>
                <w:szCs w:val="21"/>
              </w:rPr>
            </w:pPr>
            <w:r>
              <w:rPr>
                <w:rFonts w:hint="eastAsia" w:ascii="宋体" w:hAnsi="宋体" w:eastAsia="宋体" w:cs="宋体"/>
                <w:sz w:val="21"/>
                <w:szCs w:val="21"/>
              </w:rPr>
              <w:t>（GB50156-2021）</w:t>
            </w:r>
          </w:p>
          <w:p w14:paraId="42322FC1">
            <w:pPr>
              <w:bidi w:val="0"/>
              <w:jc w:val="center"/>
              <w:rPr>
                <w:rFonts w:hint="eastAsia" w:ascii="宋体" w:hAnsi="宋体" w:eastAsia="宋体" w:cs="宋体"/>
                <w:sz w:val="21"/>
                <w:szCs w:val="21"/>
              </w:rPr>
            </w:pPr>
            <w:r>
              <w:rPr>
                <w:rFonts w:hint="eastAsia" w:ascii="宋体" w:hAnsi="宋体" w:eastAsia="宋体" w:cs="宋体"/>
                <w:sz w:val="21"/>
                <w:szCs w:val="21"/>
              </w:rPr>
              <w:t>12.3.2</w:t>
            </w:r>
          </w:p>
        </w:tc>
        <w:tc>
          <w:tcPr>
            <w:tcW w:w="2193" w:type="dxa"/>
            <w:vAlign w:val="center"/>
          </w:tcPr>
          <w:p w14:paraId="68611FB2">
            <w:pPr>
              <w:bidi w:val="0"/>
              <w:jc w:val="center"/>
              <w:rPr>
                <w:rFonts w:hint="eastAsia" w:ascii="宋体" w:hAnsi="宋体" w:eastAsia="宋体" w:cs="宋体"/>
                <w:sz w:val="21"/>
                <w:szCs w:val="21"/>
              </w:rPr>
            </w:pPr>
            <w:r>
              <w:rPr>
                <w:rFonts w:hint="eastAsia" w:ascii="宋体" w:hAnsi="宋体" w:eastAsia="宋体" w:cs="宋体"/>
                <w:sz w:val="21"/>
                <w:szCs w:val="21"/>
              </w:rPr>
              <w:t>加油站的排水设施符合规范要求。</w:t>
            </w:r>
          </w:p>
        </w:tc>
        <w:tc>
          <w:tcPr>
            <w:tcW w:w="693" w:type="dxa"/>
            <w:vAlign w:val="center"/>
          </w:tcPr>
          <w:p w14:paraId="0F2D379A">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3BA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10" w:type="dxa"/>
            <w:vAlign w:val="center"/>
          </w:tcPr>
          <w:p w14:paraId="4CC067C3">
            <w:pPr>
              <w:bidi w:val="0"/>
              <w:jc w:val="center"/>
              <w:rPr>
                <w:rFonts w:hint="eastAsia" w:ascii="宋体" w:hAnsi="宋体" w:eastAsia="宋体" w:cs="宋体"/>
                <w:sz w:val="21"/>
                <w:szCs w:val="21"/>
              </w:rPr>
            </w:pPr>
            <w:r>
              <w:rPr>
                <w:rFonts w:hint="eastAsia" w:ascii="宋体" w:hAnsi="宋体" w:eastAsia="宋体" w:cs="宋体"/>
                <w:sz w:val="21"/>
                <w:szCs w:val="21"/>
              </w:rPr>
              <w:t>5</w:t>
            </w:r>
          </w:p>
        </w:tc>
        <w:tc>
          <w:tcPr>
            <w:tcW w:w="3924" w:type="dxa"/>
            <w:vAlign w:val="top"/>
          </w:tcPr>
          <w:p w14:paraId="7AB43F30">
            <w:pPr>
              <w:bidi w:val="0"/>
              <w:rPr>
                <w:rFonts w:hint="eastAsia" w:ascii="宋体" w:hAnsi="宋体" w:eastAsia="宋体" w:cs="宋体"/>
                <w:sz w:val="21"/>
                <w:szCs w:val="21"/>
              </w:rPr>
            </w:pPr>
            <w:r>
              <w:rPr>
                <w:rFonts w:hint="eastAsia" w:ascii="宋体" w:hAnsi="宋体" w:eastAsia="宋体" w:cs="宋体"/>
                <w:sz w:val="21"/>
                <w:szCs w:val="21"/>
              </w:rPr>
              <w:t>对消防设施、器材应加强日常管理和维护，建立消防设施、器材的巡查检测、维修保养等管理档案，记明配置类型、数量、设置位置、检查维修单位（人员）、更换药剂的时间等有关情况，严禁损坏、挪用或擅自拆除、停用。</w:t>
            </w:r>
          </w:p>
        </w:tc>
        <w:tc>
          <w:tcPr>
            <w:tcW w:w="2080" w:type="dxa"/>
            <w:vAlign w:val="center"/>
          </w:tcPr>
          <w:p w14:paraId="6FA8A98D">
            <w:pPr>
              <w:bidi w:val="0"/>
              <w:jc w:val="center"/>
              <w:rPr>
                <w:rFonts w:hint="eastAsia" w:ascii="宋体" w:hAnsi="宋体" w:eastAsia="宋体" w:cs="宋体"/>
                <w:sz w:val="21"/>
                <w:szCs w:val="21"/>
              </w:rPr>
            </w:pPr>
            <w:r>
              <w:rPr>
                <w:rFonts w:hint="eastAsia" w:ascii="宋体" w:hAnsi="宋体" w:eastAsia="宋体" w:cs="宋体"/>
                <w:sz w:val="21"/>
                <w:szCs w:val="21"/>
              </w:rPr>
              <w:t>《汽车加油加气站消防安全管理》</w:t>
            </w:r>
          </w:p>
          <w:p w14:paraId="05A70661">
            <w:pPr>
              <w:bidi w:val="0"/>
              <w:jc w:val="center"/>
              <w:rPr>
                <w:rFonts w:hint="eastAsia" w:ascii="宋体" w:hAnsi="宋体" w:eastAsia="宋体" w:cs="宋体"/>
                <w:sz w:val="21"/>
                <w:szCs w:val="21"/>
              </w:rPr>
            </w:pPr>
            <w:r>
              <w:rPr>
                <w:rFonts w:hint="eastAsia" w:ascii="宋体" w:hAnsi="宋体" w:eastAsia="宋体" w:cs="宋体"/>
                <w:sz w:val="21"/>
                <w:szCs w:val="21"/>
              </w:rPr>
              <w:t>（XF/T3004-2020）</w:t>
            </w:r>
          </w:p>
          <w:p w14:paraId="5D0EAD80">
            <w:pPr>
              <w:bidi w:val="0"/>
              <w:jc w:val="center"/>
              <w:rPr>
                <w:rFonts w:hint="eastAsia" w:ascii="宋体" w:hAnsi="宋体" w:eastAsia="宋体" w:cs="宋体"/>
                <w:sz w:val="21"/>
                <w:szCs w:val="21"/>
              </w:rPr>
            </w:pPr>
            <w:r>
              <w:rPr>
                <w:rFonts w:hint="eastAsia" w:ascii="宋体" w:hAnsi="宋体" w:eastAsia="宋体" w:cs="宋体"/>
                <w:sz w:val="21"/>
                <w:szCs w:val="21"/>
              </w:rPr>
              <w:t>7.3.1</w:t>
            </w:r>
          </w:p>
        </w:tc>
        <w:tc>
          <w:tcPr>
            <w:tcW w:w="2193" w:type="dxa"/>
            <w:vAlign w:val="center"/>
          </w:tcPr>
          <w:p w14:paraId="2DD24304">
            <w:pPr>
              <w:bidi w:val="0"/>
              <w:jc w:val="center"/>
              <w:rPr>
                <w:rFonts w:hint="eastAsia" w:ascii="宋体" w:hAnsi="宋体" w:eastAsia="宋体" w:cs="宋体"/>
                <w:sz w:val="21"/>
                <w:szCs w:val="21"/>
              </w:rPr>
            </w:pPr>
            <w:r>
              <w:rPr>
                <w:rFonts w:hint="eastAsia" w:ascii="宋体" w:hAnsi="宋体" w:eastAsia="宋体" w:cs="宋体"/>
                <w:sz w:val="21"/>
                <w:szCs w:val="21"/>
              </w:rPr>
              <w:t>加油站对消防设施、器材应加强日常管理和维护，并建立消防设施、器材的巡查检测、维修保养等管理档案。</w:t>
            </w:r>
          </w:p>
        </w:tc>
        <w:tc>
          <w:tcPr>
            <w:tcW w:w="693" w:type="dxa"/>
            <w:vAlign w:val="center"/>
          </w:tcPr>
          <w:p w14:paraId="6178E962">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5B220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510" w:type="dxa"/>
            <w:vAlign w:val="center"/>
          </w:tcPr>
          <w:p w14:paraId="37A3D9F7">
            <w:pPr>
              <w:bidi w:val="0"/>
              <w:jc w:val="center"/>
              <w:rPr>
                <w:rFonts w:hint="eastAsia" w:ascii="宋体" w:hAnsi="宋体" w:eastAsia="宋体" w:cs="宋体"/>
                <w:sz w:val="21"/>
                <w:szCs w:val="21"/>
              </w:rPr>
            </w:pPr>
            <w:r>
              <w:rPr>
                <w:rFonts w:hint="eastAsia" w:ascii="宋体" w:hAnsi="宋体" w:eastAsia="宋体" w:cs="宋体"/>
                <w:sz w:val="21"/>
                <w:szCs w:val="21"/>
              </w:rPr>
              <w:t>6</w:t>
            </w:r>
          </w:p>
        </w:tc>
        <w:tc>
          <w:tcPr>
            <w:tcW w:w="3924" w:type="dxa"/>
            <w:vAlign w:val="top"/>
          </w:tcPr>
          <w:p w14:paraId="351D4977">
            <w:pPr>
              <w:bidi w:val="0"/>
              <w:rPr>
                <w:rFonts w:hint="eastAsia" w:ascii="宋体" w:hAnsi="宋体" w:eastAsia="宋体" w:cs="宋体"/>
                <w:sz w:val="21"/>
                <w:szCs w:val="21"/>
              </w:rPr>
            </w:pPr>
            <w:r>
              <w:rPr>
                <w:rFonts w:hint="eastAsia" w:ascii="宋体" w:hAnsi="宋体" w:eastAsia="宋体" w:cs="宋体"/>
                <w:sz w:val="21"/>
                <w:szCs w:val="21"/>
              </w:rPr>
              <w:t>消火栓、灭火器、灭火毯、消防沙箱或沙池等消防设施、器材应设置消防安全标志。</w:t>
            </w:r>
          </w:p>
        </w:tc>
        <w:tc>
          <w:tcPr>
            <w:tcW w:w="2080" w:type="dxa"/>
            <w:vAlign w:val="center"/>
          </w:tcPr>
          <w:p w14:paraId="7546FF98">
            <w:pPr>
              <w:bidi w:val="0"/>
              <w:jc w:val="center"/>
              <w:rPr>
                <w:rFonts w:hint="eastAsia" w:ascii="宋体" w:hAnsi="宋体" w:eastAsia="宋体" w:cs="宋体"/>
                <w:sz w:val="21"/>
                <w:szCs w:val="21"/>
              </w:rPr>
            </w:pPr>
            <w:r>
              <w:rPr>
                <w:rFonts w:hint="eastAsia" w:ascii="宋体" w:hAnsi="宋体" w:eastAsia="宋体" w:cs="宋体"/>
                <w:sz w:val="21"/>
                <w:szCs w:val="21"/>
              </w:rPr>
              <w:t>《汽车加油加气站消防安全管理》</w:t>
            </w:r>
          </w:p>
          <w:p w14:paraId="3160D049">
            <w:pPr>
              <w:bidi w:val="0"/>
              <w:jc w:val="center"/>
              <w:rPr>
                <w:rFonts w:hint="eastAsia" w:ascii="宋体" w:hAnsi="宋体" w:eastAsia="宋体" w:cs="宋体"/>
                <w:sz w:val="21"/>
                <w:szCs w:val="21"/>
              </w:rPr>
            </w:pPr>
            <w:r>
              <w:rPr>
                <w:rFonts w:hint="eastAsia" w:ascii="宋体" w:hAnsi="宋体" w:eastAsia="宋体" w:cs="宋体"/>
                <w:sz w:val="21"/>
                <w:szCs w:val="21"/>
              </w:rPr>
              <w:t>（XF/T3004-2020）</w:t>
            </w:r>
          </w:p>
          <w:p w14:paraId="7A33ED6A">
            <w:pPr>
              <w:bidi w:val="0"/>
              <w:jc w:val="center"/>
              <w:rPr>
                <w:rFonts w:hint="eastAsia" w:ascii="宋体" w:hAnsi="宋体" w:eastAsia="宋体" w:cs="宋体"/>
                <w:sz w:val="21"/>
                <w:szCs w:val="21"/>
              </w:rPr>
            </w:pPr>
            <w:r>
              <w:rPr>
                <w:rFonts w:hint="eastAsia" w:ascii="宋体" w:hAnsi="宋体" w:eastAsia="宋体" w:cs="宋体"/>
                <w:sz w:val="21"/>
                <w:szCs w:val="21"/>
              </w:rPr>
              <w:t>7.3.2</w:t>
            </w:r>
          </w:p>
        </w:tc>
        <w:tc>
          <w:tcPr>
            <w:tcW w:w="2193" w:type="dxa"/>
            <w:vAlign w:val="center"/>
          </w:tcPr>
          <w:p w14:paraId="03A3454D">
            <w:pPr>
              <w:bidi w:val="0"/>
              <w:jc w:val="center"/>
              <w:rPr>
                <w:rFonts w:hint="eastAsia" w:ascii="宋体" w:hAnsi="宋体" w:eastAsia="宋体" w:cs="宋体"/>
                <w:sz w:val="21"/>
                <w:szCs w:val="21"/>
              </w:rPr>
            </w:pPr>
            <w:r>
              <w:rPr>
                <w:rFonts w:hint="eastAsia" w:ascii="宋体" w:hAnsi="宋体" w:eastAsia="宋体" w:cs="宋体"/>
                <w:sz w:val="21"/>
                <w:szCs w:val="21"/>
              </w:rPr>
              <w:t>加油站对消防设施、器材应设置了消防安全标志。</w:t>
            </w:r>
          </w:p>
        </w:tc>
        <w:tc>
          <w:tcPr>
            <w:tcW w:w="693" w:type="dxa"/>
            <w:vAlign w:val="center"/>
          </w:tcPr>
          <w:p w14:paraId="2E447455">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3E4C4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10" w:type="dxa"/>
            <w:vAlign w:val="center"/>
          </w:tcPr>
          <w:p w14:paraId="6935D079">
            <w:pPr>
              <w:bidi w:val="0"/>
              <w:jc w:val="center"/>
              <w:rPr>
                <w:rFonts w:hint="eastAsia" w:ascii="宋体" w:hAnsi="宋体" w:eastAsia="宋体" w:cs="宋体"/>
                <w:sz w:val="21"/>
                <w:szCs w:val="21"/>
              </w:rPr>
            </w:pPr>
            <w:r>
              <w:rPr>
                <w:rFonts w:hint="eastAsia" w:ascii="宋体" w:hAnsi="宋体" w:eastAsia="宋体" w:cs="宋体"/>
                <w:sz w:val="21"/>
                <w:szCs w:val="21"/>
              </w:rPr>
              <w:t>7</w:t>
            </w:r>
          </w:p>
        </w:tc>
        <w:tc>
          <w:tcPr>
            <w:tcW w:w="3924" w:type="dxa"/>
            <w:vAlign w:val="top"/>
          </w:tcPr>
          <w:p w14:paraId="4884E3DB">
            <w:pPr>
              <w:bidi w:val="0"/>
              <w:rPr>
                <w:rFonts w:hint="eastAsia" w:ascii="宋体" w:hAnsi="宋体" w:eastAsia="宋体" w:cs="宋体"/>
                <w:sz w:val="21"/>
                <w:szCs w:val="21"/>
              </w:rPr>
            </w:pPr>
            <w:r>
              <w:rPr>
                <w:rFonts w:hint="eastAsia" w:ascii="宋体" w:hAnsi="宋体" w:eastAsia="宋体" w:cs="宋体"/>
                <w:sz w:val="21"/>
                <w:szCs w:val="21"/>
              </w:rPr>
              <w:t>灭火器、灭火毯应放置于醒目且便于取用位置。灭火器应保持标识清晰，各种部件不应有严重损伤、变形、锈蚀等缺陷，存放地点及环境应符合要求，并定期进行检查、维保。</w:t>
            </w:r>
          </w:p>
        </w:tc>
        <w:tc>
          <w:tcPr>
            <w:tcW w:w="2080" w:type="dxa"/>
            <w:vAlign w:val="center"/>
          </w:tcPr>
          <w:p w14:paraId="252A5158">
            <w:pPr>
              <w:bidi w:val="0"/>
              <w:jc w:val="center"/>
              <w:rPr>
                <w:rFonts w:hint="eastAsia" w:ascii="宋体" w:hAnsi="宋体" w:eastAsia="宋体" w:cs="宋体"/>
                <w:sz w:val="21"/>
                <w:szCs w:val="21"/>
              </w:rPr>
            </w:pPr>
            <w:r>
              <w:rPr>
                <w:rFonts w:hint="eastAsia" w:ascii="宋体" w:hAnsi="宋体" w:eastAsia="宋体" w:cs="宋体"/>
                <w:sz w:val="21"/>
                <w:szCs w:val="21"/>
              </w:rPr>
              <w:t>《汽车加油加气站消防安全管理》</w:t>
            </w:r>
          </w:p>
          <w:p w14:paraId="4526974B">
            <w:pPr>
              <w:bidi w:val="0"/>
              <w:jc w:val="center"/>
              <w:rPr>
                <w:rFonts w:hint="eastAsia" w:ascii="宋体" w:hAnsi="宋体" w:eastAsia="宋体" w:cs="宋体"/>
                <w:sz w:val="21"/>
                <w:szCs w:val="21"/>
              </w:rPr>
            </w:pPr>
            <w:r>
              <w:rPr>
                <w:rFonts w:hint="eastAsia" w:ascii="宋体" w:hAnsi="宋体" w:eastAsia="宋体" w:cs="宋体"/>
                <w:sz w:val="21"/>
                <w:szCs w:val="21"/>
              </w:rPr>
              <w:t>（XF/T3004-2020）</w:t>
            </w:r>
          </w:p>
          <w:p w14:paraId="0DAE464C">
            <w:pPr>
              <w:bidi w:val="0"/>
              <w:jc w:val="center"/>
              <w:rPr>
                <w:rFonts w:hint="eastAsia" w:ascii="宋体" w:hAnsi="宋体" w:eastAsia="宋体" w:cs="宋体"/>
                <w:sz w:val="21"/>
                <w:szCs w:val="21"/>
              </w:rPr>
            </w:pPr>
            <w:r>
              <w:rPr>
                <w:rFonts w:hint="eastAsia" w:ascii="宋体" w:hAnsi="宋体" w:eastAsia="宋体" w:cs="宋体"/>
                <w:sz w:val="21"/>
                <w:szCs w:val="21"/>
              </w:rPr>
              <w:t>7.3.3</w:t>
            </w:r>
          </w:p>
        </w:tc>
        <w:tc>
          <w:tcPr>
            <w:tcW w:w="2193" w:type="dxa"/>
            <w:vAlign w:val="center"/>
          </w:tcPr>
          <w:p w14:paraId="2C7DE08C">
            <w:pPr>
              <w:bidi w:val="0"/>
              <w:jc w:val="center"/>
              <w:rPr>
                <w:rFonts w:hint="eastAsia" w:ascii="宋体" w:hAnsi="宋体" w:eastAsia="宋体" w:cs="宋体"/>
                <w:sz w:val="21"/>
                <w:szCs w:val="21"/>
              </w:rPr>
            </w:pPr>
            <w:r>
              <w:rPr>
                <w:rFonts w:hint="eastAsia" w:ascii="宋体" w:hAnsi="宋体" w:eastAsia="宋体" w:cs="宋体"/>
                <w:sz w:val="21"/>
                <w:szCs w:val="21"/>
              </w:rPr>
              <w:t>灭火器、灭火毯已放置于醒目且便于取用位置。灭火器标识清晰，并定期进行检查、维保。</w:t>
            </w:r>
          </w:p>
        </w:tc>
        <w:tc>
          <w:tcPr>
            <w:tcW w:w="693" w:type="dxa"/>
            <w:vAlign w:val="center"/>
          </w:tcPr>
          <w:p w14:paraId="0C52E67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E07B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510" w:type="dxa"/>
            <w:vAlign w:val="center"/>
          </w:tcPr>
          <w:p w14:paraId="62F6510A">
            <w:pPr>
              <w:bidi w:val="0"/>
              <w:jc w:val="center"/>
              <w:rPr>
                <w:rFonts w:hint="eastAsia" w:ascii="宋体" w:hAnsi="宋体" w:eastAsia="宋体" w:cs="宋体"/>
                <w:sz w:val="21"/>
                <w:szCs w:val="21"/>
              </w:rPr>
            </w:pPr>
            <w:r>
              <w:rPr>
                <w:rFonts w:hint="eastAsia" w:ascii="宋体" w:hAnsi="宋体" w:eastAsia="宋体" w:cs="宋体"/>
                <w:sz w:val="21"/>
                <w:szCs w:val="21"/>
              </w:rPr>
              <w:t>8</w:t>
            </w:r>
          </w:p>
        </w:tc>
        <w:tc>
          <w:tcPr>
            <w:tcW w:w="3924" w:type="dxa"/>
            <w:vAlign w:val="top"/>
          </w:tcPr>
          <w:p w14:paraId="3ABDE287">
            <w:pPr>
              <w:bidi w:val="0"/>
              <w:rPr>
                <w:rFonts w:hint="eastAsia" w:ascii="宋体" w:hAnsi="宋体" w:eastAsia="宋体" w:cs="宋体"/>
                <w:sz w:val="21"/>
                <w:szCs w:val="21"/>
              </w:rPr>
            </w:pPr>
            <w:r>
              <w:rPr>
                <w:rFonts w:hint="eastAsia" w:ascii="宋体" w:hAnsi="宋体" w:eastAsia="宋体" w:cs="宋体"/>
                <w:sz w:val="21"/>
                <w:szCs w:val="21"/>
              </w:rPr>
              <w:t>消防沙箱或沙池内应保持沙量充足，不应存放杂物，沙子应保持干燥不结块，不含树叶、石子等杂质，附近应配置沙铲、沙桶、推车等灭火和应急处置辅助器材。</w:t>
            </w:r>
          </w:p>
        </w:tc>
        <w:tc>
          <w:tcPr>
            <w:tcW w:w="2080" w:type="dxa"/>
            <w:vAlign w:val="center"/>
          </w:tcPr>
          <w:p w14:paraId="4150E864">
            <w:pPr>
              <w:bidi w:val="0"/>
              <w:jc w:val="center"/>
              <w:rPr>
                <w:rFonts w:hint="eastAsia" w:ascii="宋体" w:hAnsi="宋体" w:eastAsia="宋体" w:cs="宋体"/>
                <w:sz w:val="21"/>
                <w:szCs w:val="21"/>
              </w:rPr>
            </w:pPr>
            <w:r>
              <w:rPr>
                <w:rFonts w:hint="eastAsia" w:ascii="宋体" w:hAnsi="宋体" w:eastAsia="宋体" w:cs="宋体"/>
                <w:sz w:val="21"/>
                <w:szCs w:val="21"/>
              </w:rPr>
              <w:t>《汽车加油加气站消防安全管理》</w:t>
            </w:r>
          </w:p>
          <w:p w14:paraId="111FC9D2">
            <w:pPr>
              <w:bidi w:val="0"/>
              <w:jc w:val="center"/>
              <w:rPr>
                <w:rFonts w:hint="eastAsia" w:ascii="宋体" w:hAnsi="宋体" w:eastAsia="宋体" w:cs="宋体"/>
                <w:sz w:val="21"/>
                <w:szCs w:val="21"/>
              </w:rPr>
            </w:pPr>
            <w:r>
              <w:rPr>
                <w:rFonts w:hint="eastAsia" w:ascii="宋体" w:hAnsi="宋体" w:eastAsia="宋体" w:cs="宋体"/>
                <w:sz w:val="21"/>
                <w:szCs w:val="21"/>
              </w:rPr>
              <w:t>（XF/T3004-2020）</w:t>
            </w:r>
          </w:p>
          <w:p w14:paraId="6A2C0F66">
            <w:pPr>
              <w:bidi w:val="0"/>
              <w:jc w:val="center"/>
              <w:rPr>
                <w:rFonts w:hint="eastAsia" w:ascii="宋体" w:hAnsi="宋体" w:eastAsia="宋体" w:cs="宋体"/>
                <w:sz w:val="21"/>
                <w:szCs w:val="21"/>
              </w:rPr>
            </w:pPr>
            <w:r>
              <w:rPr>
                <w:rFonts w:hint="eastAsia" w:ascii="宋体" w:hAnsi="宋体" w:eastAsia="宋体" w:cs="宋体"/>
                <w:sz w:val="21"/>
                <w:szCs w:val="21"/>
              </w:rPr>
              <w:t>7.3.4</w:t>
            </w:r>
          </w:p>
        </w:tc>
        <w:tc>
          <w:tcPr>
            <w:tcW w:w="2193" w:type="dxa"/>
            <w:vAlign w:val="center"/>
          </w:tcPr>
          <w:p w14:paraId="0C8C91E3">
            <w:pPr>
              <w:bidi w:val="0"/>
              <w:jc w:val="center"/>
              <w:rPr>
                <w:rFonts w:hint="eastAsia" w:ascii="宋体" w:hAnsi="宋体" w:eastAsia="宋体" w:cs="宋体"/>
                <w:sz w:val="21"/>
                <w:szCs w:val="21"/>
              </w:rPr>
            </w:pPr>
            <w:r>
              <w:rPr>
                <w:rFonts w:hint="eastAsia" w:ascii="宋体" w:hAnsi="宋体" w:eastAsia="宋体" w:cs="宋体"/>
                <w:sz w:val="21"/>
                <w:szCs w:val="21"/>
              </w:rPr>
              <w:t>消防沙池沙量充足，无杂物，沙子干燥，配置沙铲、沙桶、推车灭火器材。</w:t>
            </w:r>
          </w:p>
        </w:tc>
        <w:tc>
          <w:tcPr>
            <w:tcW w:w="693" w:type="dxa"/>
            <w:vAlign w:val="center"/>
          </w:tcPr>
          <w:p w14:paraId="646338C9">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bl>
    <w:p w14:paraId="45F6A7F6">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66" w:name="_Toc6084"/>
      <w:bookmarkStart w:id="467" w:name="_Toc12836"/>
      <w:bookmarkStart w:id="468" w:name="_Toc7058"/>
      <w:bookmarkStart w:id="469" w:name="_Toc16759"/>
      <w:r>
        <w:rPr>
          <w:rFonts w:hint="eastAsia" w:ascii="宋体" w:hAnsi="宋体" w:eastAsia="宋体" w:cs="宋体"/>
          <w:b/>
          <w:color w:val="000000" w:themeColor="text1"/>
          <w:sz w:val="30"/>
          <w:szCs w:val="30"/>
          <w:lang w:val="en-US" w:eastAsia="zh-CN"/>
          <w14:textFill>
            <w14:solidFill>
              <w14:schemeClr w14:val="tx1"/>
            </w14:solidFill>
          </w14:textFill>
        </w:rPr>
        <w:t>7.3.2单元小节</w:t>
      </w:r>
      <w:bookmarkEnd w:id="466"/>
      <w:bookmarkEnd w:id="467"/>
      <w:bookmarkEnd w:id="468"/>
      <w:bookmarkEnd w:id="469"/>
    </w:p>
    <w:p w14:paraId="42759AD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通过对该加油站的公辅设施单元进行检查分析，该加油站的公辅设施单元符合《汽车加油加气加氢站技术标准》（GB50156-2021）的要求。</w:t>
      </w:r>
    </w:p>
    <w:p w14:paraId="1B97E013">
      <w:pPr>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b/>
          <w:smallCaps/>
          <w:color w:val="auto"/>
          <w:kern w:val="0"/>
          <w:sz w:val="32"/>
          <w:szCs w:val="32"/>
          <w:lang w:val="en-US" w:eastAsia="zh-CN"/>
        </w:rPr>
      </w:pPr>
      <w:bookmarkStart w:id="470" w:name="_Toc9946"/>
      <w:bookmarkStart w:id="471" w:name="_Toc6800"/>
      <w:bookmarkStart w:id="472" w:name="_Toc13502"/>
    </w:p>
    <w:p w14:paraId="1FEB265B">
      <w:pPr>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b/>
          <w:smallCaps/>
          <w:color w:val="auto"/>
          <w:kern w:val="0"/>
          <w:sz w:val="32"/>
          <w:szCs w:val="32"/>
          <w:lang w:val="en-US" w:eastAsia="zh-CN"/>
        </w:rPr>
      </w:pPr>
    </w:p>
    <w:p w14:paraId="04ED9A5C">
      <w:pPr>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b/>
          <w:smallCaps/>
          <w:color w:val="auto"/>
          <w:kern w:val="0"/>
          <w:sz w:val="32"/>
          <w:szCs w:val="32"/>
          <w:lang w:val="en-US" w:eastAsia="zh-CN"/>
        </w:rPr>
      </w:pPr>
    </w:p>
    <w:p w14:paraId="2262A4AB">
      <w:pPr>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宋体" w:hAnsi="宋体" w:eastAsia="宋体" w:cs="宋体"/>
          <w:b/>
          <w:smallCaps/>
          <w:color w:val="auto"/>
          <w:kern w:val="0"/>
          <w:sz w:val="32"/>
          <w:szCs w:val="32"/>
          <w:lang w:val="en-US" w:eastAsia="zh-CN"/>
        </w:rPr>
      </w:pPr>
    </w:p>
    <w:p w14:paraId="1AAD8E93">
      <w:pPr>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eastAsia="宋体" w:cs="宋体"/>
          <w:b/>
          <w:smallCaps/>
          <w:color w:val="auto"/>
          <w:kern w:val="0"/>
          <w:sz w:val="32"/>
          <w:szCs w:val="32"/>
          <w:lang w:val="en-US" w:eastAsia="zh-CN"/>
        </w:rPr>
      </w:pPr>
      <w:bookmarkStart w:id="473" w:name="_Toc21171"/>
      <w:r>
        <w:rPr>
          <w:rFonts w:hint="eastAsia" w:ascii="宋体" w:hAnsi="宋体" w:eastAsia="宋体" w:cs="宋体"/>
          <w:b/>
          <w:smallCaps/>
          <w:color w:val="auto"/>
          <w:kern w:val="0"/>
          <w:sz w:val="32"/>
          <w:szCs w:val="32"/>
          <w:lang w:val="en-US" w:eastAsia="zh-CN"/>
        </w:rPr>
        <w:t>7.4安全管理单元</w:t>
      </w:r>
      <w:bookmarkEnd w:id="470"/>
      <w:bookmarkEnd w:id="471"/>
      <w:bookmarkEnd w:id="472"/>
      <w:bookmarkEnd w:id="473"/>
    </w:p>
    <w:p w14:paraId="61BE2D78">
      <w:pPr>
        <w:pStyle w:val="4"/>
        <w:keepNext/>
        <w:keepLines/>
        <w:pageBreakBefore w:val="0"/>
        <w:widowControl w:val="0"/>
        <w:kinsoku/>
        <w:wordWrap/>
        <w:overflowPunct/>
        <w:topLinePunct w:val="0"/>
        <w:autoSpaceDE/>
        <w:autoSpaceDN/>
        <w:bidi w:val="0"/>
        <w:adjustRightInd/>
        <w:snapToGrid/>
        <w:spacing w:before="0" w:after="0" w:line="5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74" w:name="_Toc10132"/>
      <w:bookmarkStart w:id="475" w:name="_Toc16638"/>
      <w:bookmarkStart w:id="476" w:name="_Toc30120"/>
      <w:bookmarkStart w:id="477" w:name="_Toc9882"/>
      <w:r>
        <w:rPr>
          <w:rFonts w:hint="eastAsia" w:ascii="宋体" w:hAnsi="宋体" w:eastAsia="宋体" w:cs="宋体"/>
          <w:b/>
          <w:color w:val="000000" w:themeColor="text1"/>
          <w:sz w:val="30"/>
          <w:szCs w:val="30"/>
          <w:lang w:val="en-US" w:eastAsia="zh-CN"/>
          <w14:textFill>
            <w14:solidFill>
              <w14:schemeClr w14:val="tx1"/>
            </w14:solidFill>
          </w14:textFill>
        </w:rPr>
        <w:t>7.4.1安全管理单元安全检查表</w:t>
      </w:r>
      <w:bookmarkEnd w:id="474"/>
      <w:bookmarkEnd w:id="475"/>
      <w:bookmarkEnd w:id="476"/>
      <w:bookmarkEnd w:id="477"/>
    </w:p>
    <w:p w14:paraId="5E326F8F">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表7-5安全管理检查表</w:t>
      </w:r>
    </w:p>
    <w:tbl>
      <w:tblPr>
        <w:tblStyle w:val="41"/>
        <w:tblW w:w="94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3375"/>
        <w:gridCol w:w="2104"/>
        <w:gridCol w:w="2406"/>
        <w:gridCol w:w="792"/>
      </w:tblGrid>
      <w:tr w14:paraId="1788C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727" w:type="dxa"/>
            <w:vAlign w:val="center"/>
          </w:tcPr>
          <w:p w14:paraId="451FC2F1">
            <w:pPr>
              <w:bidi w:val="0"/>
              <w:jc w:val="center"/>
              <w:rPr>
                <w:rFonts w:hint="eastAsia" w:ascii="宋体" w:hAnsi="宋体" w:eastAsia="宋体" w:cs="宋体"/>
                <w:b/>
                <w:bCs/>
              </w:rPr>
            </w:pPr>
            <w:r>
              <w:rPr>
                <w:rFonts w:hint="eastAsia" w:ascii="宋体" w:hAnsi="宋体" w:eastAsia="宋体" w:cs="宋体"/>
                <w:b/>
                <w:bCs/>
              </w:rPr>
              <w:t>序号</w:t>
            </w:r>
          </w:p>
        </w:tc>
        <w:tc>
          <w:tcPr>
            <w:tcW w:w="3375" w:type="dxa"/>
            <w:vAlign w:val="center"/>
          </w:tcPr>
          <w:p w14:paraId="2A7AC458">
            <w:pPr>
              <w:bidi w:val="0"/>
              <w:jc w:val="center"/>
              <w:rPr>
                <w:rFonts w:hint="eastAsia" w:ascii="宋体" w:hAnsi="宋体" w:eastAsia="宋体" w:cs="宋体"/>
                <w:b/>
                <w:bCs/>
              </w:rPr>
            </w:pPr>
            <w:r>
              <w:rPr>
                <w:rFonts w:hint="eastAsia" w:ascii="宋体" w:hAnsi="宋体" w:eastAsia="宋体" w:cs="宋体"/>
                <w:b/>
                <w:bCs/>
              </w:rPr>
              <w:t>检查内容</w:t>
            </w:r>
          </w:p>
        </w:tc>
        <w:tc>
          <w:tcPr>
            <w:tcW w:w="2104" w:type="dxa"/>
            <w:vAlign w:val="center"/>
          </w:tcPr>
          <w:p w14:paraId="3007715A">
            <w:pPr>
              <w:bidi w:val="0"/>
              <w:jc w:val="center"/>
              <w:rPr>
                <w:rFonts w:hint="eastAsia" w:ascii="宋体" w:hAnsi="宋体" w:eastAsia="宋体" w:cs="宋体"/>
                <w:b/>
                <w:bCs/>
              </w:rPr>
            </w:pPr>
            <w:r>
              <w:rPr>
                <w:rFonts w:hint="eastAsia" w:ascii="宋体" w:hAnsi="宋体" w:eastAsia="宋体" w:cs="宋体"/>
                <w:b/>
                <w:bCs/>
              </w:rPr>
              <w:t>检查依据</w:t>
            </w:r>
          </w:p>
        </w:tc>
        <w:tc>
          <w:tcPr>
            <w:tcW w:w="2406" w:type="dxa"/>
            <w:vAlign w:val="center"/>
          </w:tcPr>
          <w:p w14:paraId="45CF4421">
            <w:pPr>
              <w:bidi w:val="0"/>
              <w:jc w:val="center"/>
              <w:rPr>
                <w:rFonts w:hint="eastAsia" w:ascii="宋体" w:hAnsi="宋体" w:eastAsia="宋体" w:cs="宋体"/>
                <w:b/>
                <w:bCs/>
              </w:rPr>
            </w:pPr>
            <w:r>
              <w:rPr>
                <w:rFonts w:hint="eastAsia" w:ascii="宋体" w:hAnsi="宋体" w:eastAsia="宋体" w:cs="宋体"/>
                <w:b/>
                <w:bCs/>
              </w:rPr>
              <w:t>检查记录</w:t>
            </w:r>
          </w:p>
        </w:tc>
        <w:tc>
          <w:tcPr>
            <w:tcW w:w="792" w:type="dxa"/>
            <w:vAlign w:val="center"/>
          </w:tcPr>
          <w:p w14:paraId="10E4E74E">
            <w:pPr>
              <w:bidi w:val="0"/>
              <w:jc w:val="center"/>
              <w:rPr>
                <w:rFonts w:hint="eastAsia" w:ascii="宋体" w:hAnsi="宋体" w:eastAsia="宋体" w:cs="宋体"/>
                <w:b/>
                <w:bCs/>
              </w:rPr>
            </w:pPr>
            <w:r>
              <w:rPr>
                <w:rFonts w:hint="eastAsia" w:ascii="宋体" w:hAnsi="宋体" w:eastAsia="宋体" w:cs="宋体"/>
                <w:b/>
                <w:bCs/>
              </w:rPr>
              <w:t>检查</w:t>
            </w:r>
          </w:p>
          <w:p w14:paraId="6A9059E0">
            <w:pPr>
              <w:bidi w:val="0"/>
              <w:jc w:val="center"/>
              <w:rPr>
                <w:rFonts w:hint="eastAsia" w:ascii="宋体" w:hAnsi="宋体" w:eastAsia="宋体" w:cs="宋体"/>
                <w:b/>
                <w:bCs/>
              </w:rPr>
            </w:pPr>
            <w:r>
              <w:rPr>
                <w:rFonts w:hint="eastAsia" w:ascii="宋体" w:hAnsi="宋体" w:eastAsia="宋体" w:cs="宋体"/>
                <w:b/>
                <w:bCs/>
              </w:rPr>
              <w:t>结果</w:t>
            </w:r>
          </w:p>
        </w:tc>
      </w:tr>
      <w:tr w14:paraId="4BA71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9404" w:type="dxa"/>
            <w:gridSpan w:val="5"/>
            <w:vAlign w:val="center"/>
          </w:tcPr>
          <w:p w14:paraId="41495622">
            <w:pPr>
              <w:bidi w:val="0"/>
              <w:jc w:val="center"/>
              <w:rPr>
                <w:rFonts w:hint="eastAsia" w:ascii="宋体" w:hAnsi="宋体" w:eastAsia="宋体" w:cs="宋体"/>
              </w:rPr>
            </w:pPr>
            <w:r>
              <w:rPr>
                <w:rFonts w:hint="eastAsia" w:ascii="宋体" w:hAnsi="宋体" w:eastAsia="宋体" w:cs="宋体"/>
                <w:b/>
                <w:bCs/>
              </w:rPr>
              <w:t>安全管理组织机构</w:t>
            </w:r>
          </w:p>
        </w:tc>
      </w:tr>
      <w:tr w14:paraId="725CF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1" w:hRule="atLeast"/>
          <w:jc w:val="center"/>
        </w:trPr>
        <w:tc>
          <w:tcPr>
            <w:tcW w:w="727" w:type="dxa"/>
            <w:vAlign w:val="center"/>
          </w:tcPr>
          <w:p w14:paraId="1E4B8799">
            <w:pPr>
              <w:bidi w:val="0"/>
              <w:jc w:val="center"/>
              <w:rPr>
                <w:rFonts w:hint="eastAsia" w:ascii="宋体" w:hAnsi="宋体" w:eastAsia="宋体" w:cs="宋体"/>
              </w:rPr>
            </w:pPr>
            <w:r>
              <w:rPr>
                <w:rFonts w:hint="eastAsia" w:ascii="宋体" w:hAnsi="宋体" w:eastAsia="宋体" w:cs="宋体"/>
              </w:rPr>
              <w:t>1</w:t>
            </w:r>
          </w:p>
        </w:tc>
        <w:tc>
          <w:tcPr>
            <w:tcW w:w="3375" w:type="dxa"/>
            <w:vAlign w:val="center"/>
          </w:tcPr>
          <w:p w14:paraId="4EF44021">
            <w:pPr>
              <w:bidi w:val="0"/>
              <w:rPr>
                <w:rFonts w:hint="eastAsia" w:ascii="宋体" w:hAnsi="宋体" w:eastAsia="宋体" w:cs="宋体"/>
              </w:rPr>
            </w:pPr>
            <w:r>
              <w:rPr>
                <w:rFonts w:hint="eastAsia" w:ascii="宋体" w:hAnsi="宋体" w:eastAsia="宋体" w:cs="宋体"/>
              </w:rPr>
              <w:t>矿山、金属冶炼、建筑施工、道路运输单位和危险物品的生产、经营、储存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2104" w:type="dxa"/>
            <w:vAlign w:val="center"/>
          </w:tcPr>
          <w:p w14:paraId="3E3769F7">
            <w:pPr>
              <w:bidi w:val="0"/>
              <w:jc w:val="center"/>
              <w:rPr>
                <w:rFonts w:hint="eastAsia" w:ascii="宋体" w:hAnsi="宋体" w:eastAsia="宋体" w:cs="宋体"/>
              </w:rPr>
            </w:pPr>
            <w:r>
              <w:rPr>
                <w:rFonts w:hint="eastAsia" w:ascii="宋体" w:hAnsi="宋体" w:eastAsia="宋体" w:cs="宋体"/>
              </w:rPr>
              <w:t>《中华人民共和国安全生产法》（主席令第88号）第24条</w:t>
            </w:r>
          </w:p>
        </w:tc>
        <w:tc>
          <w:tcPr>
            <w:tcW w:w="2406" w:type="dxa"/>
            <w:vAlign w:val="center"/>
          </w:tcPr>
          <w:p w14:paraId="3B45F39F">
            <w:pPr>
              <w:bidi w:val="0"/>
              <w:jc w:val="center"/>
              <w:rPr>
                <w:rFonts w:hint="eastAsia" w:ascii="宋体" w:hAnsi="宋体" w:eastAsia="宋体" w:cs="宋体"/>
              </w:rPr>
            </w:pPr>
            <w:r>
              <w:rPr>
                <w:rFonts w:hint="eastAsia" w:ascii="宋体" w:hAnsi="宋体" w:eastAsia="宋体" w:cs="宋体"/>
              </w:rPr>
              <w:t>配备有专职安全员。</w:t>
            </w:r>
          </w:p>
        </w:tc>
        <w:tc>
          <w:tcPr>
            <w:tcW w:w="792" w:type="dxa"/>
            <w:vAlign w:val="center"/>
          </w:tcPr>
          <w:p w14:paraId="52BFFD6D">
            <w:pPr>
              <w:bidi w:val="0"/>
              <w:jc w:val="center"/>
              <w:rPr>
                <w:rFonts w:hint="eastAsia" w:ascii="宋体" w:hAnsi="宋体" w:eastAsia="宋体" w:cs="宋体"/>
              </w:rPr>
            </w:pPr>
            <w:r>
              <w:rPr>
                <w:rFonts w:hint="eastAsia" w:ascii="宋体" w:hAnsi="宋体" w:eastAsia="宋体" w:cs="宋体"/>
              </w:rPr>
              <w:t>符合</w:t>
            </w:r>
          </w:p>
        </w:tc>
      </w:tr>
      <w:tr w14:paraId="161F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9404" w:type="dxa"/>
            <w:gridSpan w:val="5"/>
            <w:vAlign w:val="center"/>
          </w:tcPr>
          <w:p w14:paraId="596FB9A6">
            <w:pPr>
              <w:bidi w:val="0"/>
              <w:jc w:val="center"/>
              <w:rPr>
                <w:rFonts w:hint="eastAsia" w:ascii="宋体" w:hAnsi="宋体" w:eastAsia="宋体" w:cs="宋体"/>
              </w:rPr>
            </w:pPr>
            <w:r>
              <w:rPr>
                <w:rFonts w:hint="eastAsia" w:ascii="宋体" w:hAnsi="宋体" w:eastAsia="宋体" w:cs="宋体"/>
                <w:b/>
                <w:bCs/>
              </w:rPr>
              <w:t>安全管理制度</w:t>
            </w:r>
          </w:p>
        </w:tc>
      </w:tr>
      <w:tr w14:paraId="3F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jc w:val="center"/>
        </w:trPr>
        <w:tc>
          <w:tcPr>
            <w:tcW w:w="727" w:type="dxa"/>
            <w:vAlign w:val="center"/>
          </w:tcPr>
          <w:p w14:paraId="209D969D">
            <w:pPr>
              <w:bidi w:val="0"/>
              <w:jc w:val="center"/>
              <w:rPr>
                <w:rFonts w:hint="eastAsia" w:ascii="宋体" w:hAnsi="宋体" w:eastAsia="宋体" w:cs="宋体"/>
              </w:rPr>
            </w:pPr>
            <w:r>
              <w:rPr>
                <w:rFonts w:hint="eastAsia" w:ascii="宋体" w:hAnsi="宋体" w:eastAsia="宋体" w:cs="宋体"/>
              </w:rPr>
              <w:t>2</w:t>
            </w:r>
          </w:p>
        </w:tc>
        <w:tc>
          <w:tcPr>
            <w:tcW w:w="3375" w:type="dxa"/>
            <w:vAlign w:val="center"/>
          </w:tcPr>
          <w:p w14:paraId="54C4C15E">
            <w:pPr>
              <w:bidi w:val="0"/>
              <w:rPr>
                <w:rFonts w:hint="eastAsia" w:ascii="宋体" w:hAnsi="宋体" w:eastAsia="宋体" w:cs="宋体"/>
              </w:rPr>
            </w:pPr>
            <w:r>
              <w:rPr>
                <w:rFonts w:hint="eastAsia" w:ascii="宋体" w:hAnsi="宋体" w:eastAsia="宋体" w:cs="宋体"/>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2104" w:type="dxa"/>
            <w:vAlign w:val="center"/>
          </w:tcPr>
          <w:p w14:paraId="21B0D696">
            <w:pPr>
              <w:bidi w:val="0"/>
              <w:jc w:val="center"/>
              <w:rPr>
                <w:rFonts w:hint="eastAsia" w:ascii="宋体" w:hAnsi="宋体" w:eastAsia="宋体" w:cs="宋体"/>
              </w:rPr>
            </w:pPr>
            <w:r>
              <w:rPr>
                <w:rFonts w:hint="eastAsia" w:ascii="宋体" w:hAnsi="宋体" w:eastAsia="宋体" w:cs="宋体"/>
              </w:rPr>
              <w:t>《中华人民共和国安全生产法》（主席令第88号）第4条</w:t>
            </w:r>
          </w:p>
        </w:tc>
        <w:tc>
          <w:tcPr>
            <w:tcW w:w="2406" w:type="dxa"/>
            <w:vAlign w:val="center"/>
          </w:tcPr>
          <w:p w14:paraId="31E7EC87">
            <w:pPr>
              <w:bidi w:val="0"/>
              <w:jc w:val="center"/>
              <w:rPr>
                <w:rFonts w:hint="eastAsia" w:ascii="宋体" w:hAnsi="宋体" w:eastAsia="宋体" w:cs="宋体"/>
              </w:rPr>
            </w:pPr>
            <w:r>
              <w:rPr>
                <w:rFonts w:hint="eastAsia" w:ascii="宋体" w:hAnsi="宋体" w:eastAsia="宋体" w:cs="宋体"/>
              </w:rPr>
              <w:t>已建立了安全生产责任制。加油站安全职责、站长安全职责、加油员安全职责等。</w:t>
            </w:r>
          </w:p>
        </w:tc>
        <w:tc>
          <w:tcPr>
            <w:tcW w:w="792" w:type="dxa"/>
            <w:vAlign w:val="center"/>
          </w:tcPr>
          <w:p w14:paraId="5E6A7D23">
            <w:pPr>
              <w:bidi w:val="0"/>
              <w:jc w:val="center"/>
              <w:rPr>
                <w:rFonts w:hint="eastAsia" w:ascii="宋体" w:hAnsi="宋体" w:eastAsia="宋体" w:cs="宋体"/>
              </w:rPr>
            </w:pPr>
            <w:r>
              <w:rPr>
                <w:rFonts w:hint="eastAsia" w:ascii="宋体" w:hAnsi="宋体" w:eastAsia="宋体" w:cs="宋体"/>
              </w:rPr>
              <w:t>符合</w:t>
            </w:r>
          </w:p>
        </w:tc>
      </w:tr>
      <w:tr w14:paraId="41B23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727" w:type="dxa"/>
            <w:vAlign w:val="center"/>
          </w:tcPr>
          <w:p w14:paraId="55FD2D46">
            <w:pPr>
              <w:bidi w:val="0"/>
              <w:jc w:val="center"/>
              <w:rPr>
                <w:rFonts w:hint="eastAsia" w:ascii="宋体" w:hAnsi="宋体" w:eastAsia="宋体" w:cs="宋体"/>
              </w:rPr>
            </w:pPr>
            <w:r>
              <w:rPr>
                <w:rFonts w:hint="eastAsia" w:ascii="宋体" w:hAnsi="宋体" w:eastAsia="宋体" w:cs="宋体"/>
              </w:rPr>
              <w:t>3</w:t>
            </w:r>
          </w:p>
        </w:tc>
        <w:tc>
          <w:tcPr>
            <w:tcW w:w="3375" w:type="dxa"/>
            <w:vAlign w:val="center"/>
          </w:tcPr>
          <w:p w14:paraId="2E1A3A1F">
            <w:pPr>
              <w:bidi w:val="0"/>
              <w:rPr>
                <w:rFonts w:hint="eastAsia" w:ascii="宋体" w:hAnsi="宋体" w:eastAsia="宋体" w:cs="宋体"/>
              </w:rPr>
            </w:pPr>
            <w:r>
              <w:rPr>
                <w:rFonts w:hint="eastAsia" w:ascii="宋体" w:hAnsi="宋体" w:eastAsia="宋体" w:cs="宋体"/>
              </w:rPr>
              <w:t>生产经营单位的主要负责人是本单位安全生产第一责任人，对本单位的安全生产工作全面负责。其他负责人对职责范围内的安全生产工作负责。</w:t>
            </w:r>
          </w:p>
        </w:tc>
        <w:tc>
          <w:tcPr>
            <w:tcW w:w="2104" w:type="dxa"/>
            <w:vAlign w:val="center"/>
          </w:tcPr>
          <w:p w14:paraId="0A77531C">
            <w:pPr>
              <w:bidi w:val="0"/>
              <w:jc w:val="center"/>
              <w:rPr>
                <w:rFonts w:hint="eastAsia" w:ascii="宋体" w:hAnsi="宋体" w:eastAsia="宋体" w:cs="宋体"/>
              </w:rPr>
            </w:pPr>
            <w:r>
              <w:rPr>
                <w:rFonts w:hint="eastAsia" w:ascii="宋体" w:hAnsi="宋体" w:eastAsia="宋体" w:cs="宋体"/>
              </w:rPr>
              <w:t>《中华人民共和国安全生产法》（主席令第88号）第5条</w:t>
            </w:r>
          </w:p>
        </w:tc>
        <w:tc>
          <w:tcPr>
            <w:tcW w:w="2406" w:type="dxa"/>
            <w:vAlign w:val="center"/>
          </w:tcPr>
          <w:p w14:paraId="5F1E178A">
            <w:pPr>
              <w:bidi w:val="0"/>
              <w:jc w:val="center"/>
              <w:rPr>
                <w:rFonts w:hint="eastAsia" w:ascii="宋体" w:hAnsi="宋体" w:eastAsia="宋体" w:cs="宋体"/>
              </w:rPr>
            </w:pPr>
            <w:r>
              <w:rPr>
                <w:rFonts w:hint="eastAsia" w:ascii="宋体" w:hAnsi="宋体" w:eastAsia="宋体" w:cs="宋体"/>
              </w:rPr>
              <w:t>在安全生产责任制度中，明确了加油站站长对加油站的安全生产工作全面负责。</w:t>
            </w:r>
          </w:p>
        </w:tc>
        <w:tc>
          <w:tcPr>
            <w:tcW w:w="792" w:type="dxa"/>
            <w:vAlign w:val="center"/>
          </w:tcPr>
          <w:p w14:paraId="48FDBEFD">
            <w:pPr>
              <w:bidi w:val="0"/>
              <w:jc w:val="center"/>
              <w:rPr>
                <w:rFonts w:hint="eastAsia" w:ascii="宋体" w:hAnsi="宋体" w:eastAsia="宋体" w:cs="宋体"/>
              </w:rPr>
            </w:pPr>
          </w:p>
          <w:p w14:paraId="4A13C2DB">
            <w:pPr>
              <w:bidi w:val="0"/>
              <w:jc w:val="center"/>
              <w:rPr>
                <w:rFonts w:hint="eastAsia" w:ascii="宋体" w:hAnsi="宋体" w:eastAsia="宋体" w:cs="宋体"/>
              </w:rPr>
            </w:pPr>
          </w:p>
          <w:p w14:paraId="3620B76C">
            <w:pPr>
              <w:bidi w:val="0"/>
              <w:jc w:val="center"/>
              <w:rPr>
                <w:rFonts w:hint="eastAsia" w:ascii="宋体" w:hAnsi="宋体" w:eastAsia="宋体" w:cs="宋体"/>
              </w:rPr>
            </w:pPr>
            <w:r>
              <w:rPr>
                <w:rFonts w:hint="eastAsia" w:ascii="宋体" w:hAnsi="宋体" w:eastAsia="宋体" w:cs="宋体"/>
              </w:rPr>
              <w:t>符合</w:t>
            </w:r>
          </w:p>
        </w:tc>
      </w:tr>
      <w:tr w14:paraId="2B626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jc w:val="center"/>
        </w:trPr>
        <w:tc>
          <w:tcPr>
            <w:tcW w:w="727" w:type="dxa"/>
            <w:vAlign w:val="center"/>
          </w:tcPr>
          <w:p w14:paraId="042B3A78">
            <w:pPr>
              <w:bidi w:val="0"/>
              <w:jc w:val="center"/>
              <w:rPr>
                <w:rFonts w:hint="eastAsia" w:ascii="宋体" w:hAnsi="宋体" w:eastAsia="宋体" w:cs="宋体"/>
              </w:rPr>
            </w:pPr>
            <w:r>
              <w:rPr>
                <w:rFonts w:hint="eastAsia" w:ascii="宋体" w:hAnsi="宋体" w:eastAsia="宋体" w:cs="宋体"/>
              </w:rPr>
              <w:t>4</w:t>
            </w:r>
          </w:p>
        </w:tc>
        <w:tc>
          <w:tcPr>
            <w:tcW w:w="3375" w:type="dxa"/>
            <w:vAlign w:val="center"/>
          </w:tcPr>
          <w:p w14:paraId="25FE48C2">
            <w:pPr>
              <w:bidi w:val="0"/>
              <w:rPr>
                <w:rFonts w:hint="eastAsia" w:ascii="宋体" w:hAnsi="宋体" w:eastAsia="宋体" w:cs="宋体"/>
              </w:rPr>
            </w:pPr>
            <w:r>
              <w:rPr>
                <w:rFonts w:hint="eastAsia" w:ascii="宋体" w:hAnsi="宋体" w:eastAsia="宋体" w:cs="宋体"/>
              </w:rPr>
              <w:t>生产经营单位必须为从业人员提供符合国家标准或者行业标准的劳动防护用品，并监督、教育从业人员按照使用规则佩戴、使用。</w:t>
            </w:r>
          </w:p>
        </w:tc>
        <w:tc>
          <w:tcPr>
            <w:tcW w:w="2104" w:type="dxa"/>
            <w:vAlign w:val="center"/>
          </w:tcPr>
          <w:p w14:paraId="33596D67">
            <w:pPr>
              <w:bidi w:val="0"/>
              <w:jc w:val="center"/>
              <w:rPr>
                <w:rFonts w:hint="eastAsia" w:ascii="宋体" w:hAnsi="宋体" w:eastAsia="宋体" w:cs="宋体"/>
              </w:rPr>
            </w:pPr>
            <w:r>
              <w:rPr>
                <w:rFonts w:hint="eastAsia" w:ascii="宋体" w:hAnsi="宋体" w:eastAsia="宋体" w:cs="宋体"/>
              </w:rPr>
              <w:t>《中华人民共和国安全生产法》（主席令第88号）第45条</w:t>
            </w:r>
          </w:p>
        </w:tc>
        <w:tc>
          <w:tcPr>
            <w:tcW w:w="2406" w:type="dxa"/>
            <w:vAlign w:val="center"/>
          </w:tcPr>
          <w:p w14:paraId="1898887C">
            <w:pPr>
              <w:bidi w:val="0"/>
              <w:jc w:val="center"/>
              <w:rPr>
                <w:rFonts w:hint="eastAsia" w:ascii="宋体" w:hAnsi="宋体" w:eastAsia="宋体" w:cs="宋体"/>
              </w:rPr>
            </w:pPr>
            <w:r>
              <w:rPr>
                <w:rFonts w:hint="eastAsia" w:ascii="宋体" w:hAnsi="宋体" w:eastAsia="宋体" w:cs="宋体"/>
              </w:rPr>
              <w:t>已为从业人员配备了劳动防护用品，并监督、教育从业人员正确穿戴。</w:t>
            </w:r>
          </w:p>
        </w:tc>
        <w:tc>
          <w:tcPr>
            <w:tcW w:w="792" w:type="dxa"/>
            <w:vAlign w:val="center"/>
          </w:tcPr>
          <w:p w14:paraId="72C37FE5">
            <w:pPr>
              <w:bidi w:val="0"/>
              <w:jc w:val="center"/>
              <w:rPr>
                <w:rFonts w:hint="eastAsia" w:ascii="宋体" w:hAnsi="宋体" w:eastAsia="宋体" w:cs="宋体"/>
              </w:rPr>
            </w:pPr>
          </w:p>
          <w:p w14:paraId="41D5C7FB">
            <w:pPr>
              <w:bidi w:val="0"/>
              <w:jc w:val="center"/>
              <w:rPr>
                <w:rFonts w:hint="eastAsia" w:ascii="宋体" w:hAnsi="宋体" w:eastAsia="宋体" w:cs="宋体"/>
              </w:rPr>
            </w:pPr>
            <w:r>
              <w:rPr>
                <w:rFonts w:hint="eastAsia" w:ascii="宋体" w:hAnsi="宋体" w:eastAsia="宋体" w:cs="宋体"/>
              </w:rPr>
              <w:t>符合</w:t>
            </w:r>
          </w:p>
        </w:tc>
      </w:tr>
      <w:tr w14:paraId="3BA6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4" w:hRule="atLeast"/>
          <w:jc w:val="center"/>
        </w:trPr>
        <w:tc>
          <w:tcPr>
            <w:tcW w:w="727" w:type="dxa"/>
            <w:vAlign w:val="center"/>
          </w:tcPr>
          <w:p w14:paraId="70D32136">
            <w:pPr>
              <w:bidi w:val="0"/>
              <w:jc w:val="center"/>
              <w:rPr>
                <w:rFonts w:hint="eastAsia" w:ascii="宋体" w:hAnsi="宋体" w:eastAsia="宋体" w:cs="宋体"/>
              </w:rPr>
            </w:pPr>
            <w:r>
              <w:rPr>
                <w:rFonts w:hint="eastAsia" w:ascii="宋体" w:hAnsi="宋体" w:eastAsia="宋体" w:cs="宋体"/>
              </w:rPr>
              <w:t>5</w:t>
            </w:r>
          </w:p>
        </w:tc>
        <w:tc>
          <w:tcPr>
            <w:tcW w:w="3375" w:type="dxa"/>
            <w:vAlign w:val="center"/>
          </w:tcPr>
          <w:p w14:paraId="18DBFD98">
            <w:pPr>
              <w:bidi w:val="0"/>
              <w:rPr>
                <w:rFonts w:hint="eastAsia" w:ascii="宋体" w:hAnsi="宋体" w:eastAsia="宋体" w:cs="宋体"/>
              </w:rPr>
            </w:pPr>
            <w:r>
              <w:rPr>
                <w:rFonts w:hint="eastAsia" w:ascii="宋体" w:hAnsi="宋体" w:eastAsia="宋体" w:cs="宋体"/>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14:paraId="5195F1CF">
            <w:pPr>
              <w:bidi w:val="0"/>
              <w:rPr>
                <w:rFonts w:hint="eastAsia" w:ascii="宋体" w:hAnsi="宋体" w:eastAsia="宋体" w:cs="宋体"/>
              </w:rPr>
            </w:pPr>
            <w:r>
              <w:rPr>
                <w:rFonts w:hint="eastAsia" w:ascii="宋体" w:hAnsi="宋体" w:eastAsia="宋体" w:cs="宋体"/>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2104" w:type="dxa"/>
            <w:vAlign w:val="center"/>
          </w:tcPr>
          <w:p w14:paraId="61664D01">
            <w:pPr>
              <w:bidi w:val="0"/>
              <w:jc w:val="center"/>
              <w:rPr>
                <w:rFonts w:hint="eastAsia" w:ascii="宋体" w:hAnsi="宋体" w:eastAsia="宋体" w:cs="宋体"/>
              </w:rPr>
            </w:pPr>
            <w:r>
              <w:rPr>
                <w:rFonts w:hint="eastAsia" w:ascii="宋体" w:hAnsi="宋体" w:eastAsia="宋体" w:cs="宋体"/>
              </w:rPr>
              <w:t>《中华人民共和国安全生产法》（主席令第88号）第46条</w:t>
            </w:r>
          </w:p>
        </w:tc>
        <w:tc>
          <w:tcPr>
            <w:tcW w:w="2406" w:type="dxa"/>
            <w:vAlign w:val="center"/>
          </w:tcPr>
          <w:p w14:paraId="7F237D05">
            <w:pPr>
              <w:bidi w:val="0"/>
              <w:jc w:val="center"/>
              <w:rPr>
                <w:rFonts w:hint="eastAsia" w:ascii="宋体" w:hAnsi="宋体" w:eastAsia="宋体" w:cs="宋体"/>
              </w:rPr>
            </w:pPr>
            <w:r>
              <w:rPr>
                <w:rFonts w:hint="eastAsia" w:ascii="宋体" w:hAnsi="宋体" w:eastAsia="宋体" w:cs="宋体"/>
              </w:rPr>
              <w:t>加油站进行巡查和巡检，并保存记录。</w:t>
            </w:r>
          </w:p>
        </w:tc>
        <w:tc>
          <w:tcPr>
            <w:tcW w:w="792" w:type="dxa"/>
            <w:vAlign w:val="center"/>
          </w:tcPr>
          <w:p w14:paraId="0E27D8B9">
            <w:pPr>
              <w:bidi w:val="0"/>
              <w:jc w:val="center"/>
              <w:rPr>
                <w:rFonts w:hint="eastAsia" w:ascii="宋体" w:hAnsi="宋体" w:eastAsia="宋体" w:cs="宋体"/>
              </w:rPr>
            </w:pPr>
            <w:r>
              <w:rPr>
                <w:rFonts w:hint="eastAsia" w:ascii="宋体" w:hAnsi="宋体" w:eastAsia="宋体" w:cs="宋体"/>
              </w:rPr>
              <w:t>符合</w:t>
            </w:r>
          </w:p>
        </w:tc>
      </w:tr>
      <w:tr w14:paraId="4CC6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jc w:val="center"/>
        </w:trPr>
        <w:tc>
          <w:tcPr>
            <w:tcW w:w="727" w:type="dxa"/>
            <w:vAlign w:val="center"/>
          </w:tcPr>
          <w:p w14:paraId="31A1A5FB">
            <w:pPr>
              <w:bidi w:val="0"/>
              <w:jc w:val="center"/>
              <w:rPr>
                <w:rFonts w:hint="eastAsia" w:ascii="宋体" w:hAnsi="宋体" w:eastAsia="宋体" w:cs="宋体"/>
              </w:rPr>
            </w:pPr>
            <w:r>
              <w:rPr>
                <w:rFonts w:hint="eastAsia" w:ascii="宋体" w:hAnsi="宋体" w:eastAsia="宋体" w:cs="宋体"/>
              </w:rPr>
              <w:t>6</w:t>
            </w:r>
          </w:p>
        </w:tc>
        <w:tc>
          <w:tcPr>
            <w:tcW w:w="3375" w:type="dxa"/>
            <w:vAlign w:val="center"/>
          </w:tcPr>
          <w:p w14:paraId="1489EA84">
            <w:pPr>
              <w:bidi w:val="0"/>
              <w:rPr>
                <w:rFonts w:hint="eastAsia" w:ascii="宋体" w:hAnsi="宋体" w:eastAsia="宋体" w:cs="宋体"/>
              </w:rPr>
            </w:pPr>
            <w:r>
              <w:rPr>
                <w:rFonts w:hint="eastAsia" w:ascii="宋体" w:hAnsi="宋体" w:eastAsia="宋体" w:cs="宋体"/>
              </w:rPr>
              <w:t>生产经营单位应当安排用于配备劳动防护用品、进行安全生产培训的经费。</w:t>
            </w:r>
          </w:p>
        </w:tc>
        <w:tc>
          <w:tcPr>
            <w:tcW w:w="2104" w:type="dxa"/>
            <w:vAlign w:val="center"/>
          </w:tcPr>
          <w:p w14:paraId="7729F382">
            <w:pPr>
              <w:bidi w:val="0"/>
              <w:jc w:val="center"/>
              <w:rPr>
                <w:rFonts w:hint="eastAsia" w:ascii="宋体" w:hAnsi="宋体" w:eastAsia="宋体" w:cs="宋体"/>
              </w:rPr>
            </w:pPr>
            <w:r>
              <w:rPr>
                <w:rFonts w:hint="eastAsia" w:ascii="宋体" w:hAnsi="宋体" w:eastAsia="宋体" w:cs="宋体"/>
              </w:rPr>
              <w:t>《中华人民共和国安全生产法》（主席令第88号）第47条</w:t>
            </w:r>
          </w:p>
        </w:tc>
        <w:tc>
          <w:tcPr>
            <w:tcW w:w="2406" w:type="dxa"/>
            <w:vAlign w:val="center"/>
          </w:tcPr>
          <w:p w14:paraId="3AF752F6">
            <w:pPr>
              <w:bidi w:val="0"/>
              <w:jc w:val="center"/>
              <w:rPr>
                <w:rFonts w:hint="eastAsia" w:ascii="宋体" w:hAnsi="宋体" w:eastAsia="宋体" w:cs="宋体"/>
              </w:rPr>
            </w:pPr>
          </w:p>
          <w:p w14:paraId="4A7D7A36">
            <w:pPr>
              <w:bidi w:val="0"/>
              <w:jc w:val="center"/>
              <w:rPr>
                <w:rFonts w:hint="eastAsia" w:ascii="宋体" w:hAnsi="宋体" w:eastAsia="宋体" w:cs="宋体"/>
              </w:rPr>
            </w:pPr>
            <w:r>
              <w:rPr>
                <w:rFonts w:hint="eastAsia" w:ascii="宋体" w:hAnsi="宋体" w:eastAsia="宋体" w:cs="宋体"/>
              </w:rPr>
              <w:t>有安全费用台账。</w:t>
            </w:r>
          </w:p>
        </w:tc>
        <w:tc>
          <w:tcPr>
            <w:tcW w:w="792" w:type="dxa"/>
            <w:vAlign w:val="center"/>
          </w:tcPr>
          <w:p w14:paraId="2F111985">
            <w:pPr>
              <w:bidi w:val="0"/>
              <w:jc w:val="center"/>
              <w:rPr>
                <w:rFonts w:hint="eastAsia" w:ascii="宋体" w:hAnsi="宋体" w:eastAsia="宋体" w:cs="宋体"/>
              </w:rPr>
            </w:pPr>
          </w:p>
          <w:p w14:paraId="356262D4">
            <w:pPr>
              <w:bidi w:val="0"/>
              <w:jc w:val="center"/>
              <w:rPr>
                <w:rFonts w:hint="eastAsia" w:ascii="宋体" w:hAnsi="宋体" w:eastAsia="宋体" w:cs="宋体"/>
              </w:rPr>
            </w:pPr>
            <w:r>
              <w:rPr>
                <w:rFonts w:hint="eastAsia" w:ascii="宋体" w:hAnsi="宋体" w:eastAsia="宋体" w:cs="宋体"/>
              </w:rPr>
              <w:t>符合</w:t>
            </w:r>
          </w:p>
        </w:tc>
      </w:tr>
      <w:tr w14:paraId="7AD7A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jc w:val="center"/>
        </w:trPr>
        <w:tc>
          <w:tcPr>
            <w:tcW w:w="727" w:type="dxa"/>
            <w:vAlign w:val="center"/>
          </w:tcPr>
          <w:p w14:paraId="0736C537">
            <w:pPr>
              <w:bidi w:val="0"/>
              <w:jc w:val="center"/>
              <w:rPr>
                <w:rFonts w:hint="eastAsia" w:ascii="宋体" w:hAnsi="宋体" w:eastAsia="宋体" w:cs="宋体"/>
              </w:rPr>
            </w:pPr>
            <w:r>
              <w:rPr>
                <w:rFonts w:hint="eastAsia" w:ascii="宋体" w:hAnsi="宋体" w:eastAsia="宋体" w:cs="宋体"/>
              </w:rPr>
              <w:t>7</w:t>
            </w:r>
          </w:p>
        </w:tc>
        <w:tc>
          <w:tcPr>
            <w:tcW w:w="3375" w:type="dxa"/>
            <w:vAlign w:val="center"/>
          </w:tcPr>
          <w:p w14:paraId="4A82FCA1">
            <w:pPr>
              <w:bidi w:val="0"/>
              <w:rPr>
                <w:rFonts w:hint="eastAsia" w:ascii="宋体" w:hAnsi="宋体" w:eastAsia="宋体" w:cs="宋体"/>
              </w:rPr>
            </w:pPr>
            <w:r>
              <w:rPr>
                <w:rFonts w:hint="eastAsia" w:ascii="宋体" w:hAnsi="宋体" w:eastAsia="宋体" w:cs="宋体"/>
              </w:rPr>
              <w:t>生产经营单位必须依法参加工伤保险，为从业人员缴纳保险费。</w:t>
            </w:r>
          </w:p>
          <w:p w14:paraId="0EA7F9AD">
            <w:pPr>
              <w:bidi w:val="0"/>
              <w:rPr>
                <w:rFonts w:hint="eastAsia" w:ascii="宋体" w:hAnsi="宋体" w:eastAsia="宋体" w:cs="宋体"/>
              </w:rPr>
            </w:pPr>
            <w:r>
              <w:rPr>
                <w:rFonts w:hint="eastAsia" w:ascii="宋体" w:hAnsi="宋体" w:eastAsia="宋体" w:cs="宋体"/>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2104" w:type="dxa"/>
            <w:vAlign w:val="center"/>
          </w:tcPr>
          <w:p w14:paraId="4F0C69DE">
            <w:pPr>
              <w:bidi w:val="0"/>
              <w:jc w:val="center"/>
              <w:rPr>
                <w:rFonts w:hint="eastAsia" w:ascii="宋体" w:hAnsi="宋体" w:eastAsia="宋体" w:cs="宋体"/>
              </w:rPr>
            </w:pPr>
            <w:r>
              <w:rPr>
                <w:rFonts w:hint="eastAsia" w:ascii="宋体" w:hAnsi="宋体" w:eastAsia="宋体" w:cs="宋体"/>
              </w:rPr>
              <w:t>《中华人民共和国安全生产法》（主席令第88号）第51条</w:t>
            </w:r>
          </w:p>
        </w:tc>
        <w:tc>
          <w:tcPr>
            <w:tcW w:w="2406" w:type="dxa"/>
            <w:vAlign w:val="center"/>
          </w:tcPr>
          <w:p w14:paraId="617FB842">
            <w:pPr>
              <w:bidi w:val="0"/>
              <w:jc w:val="center"/>
              <w:rPr>
                <w:rFonts w:hint="eastAsia" w:ascii="宋体" w:hAnsi="宋体" w:eastAsia="宋体" w:cs="宋体"/>
              </w:rPr>
            </w:pPr>
            <w:r>
              <w:rPr>
                <w:rFonts w:hint="eastAsia" w:ascii="宋体" w:hAnsi="宋体" w:eastAsia="宋体" w:cs="宋体"/>
                <w:color w:val="000000" w:themeColor="text1"/>
                <w14:textFill>
                  <w14:solidFill>
                    <w14:schemeClr w14:val="tx1"/>
                  </w14:solidFill>
                </w14:textFill>
              </w:rPr>
              <w:t>加油站已购买</w:t>
            </w:r>
            <w:r>
              <w:rPr>
                <w:rFonts w:hint="eastAsia" w:ascii="宋体" w:hAnsi="宋体" w:eastAsia="宋体" w:cs="宋体"/>
                <w:color w:val="000000" w:themeColor="text1"/>
                <w:lang w:val="en-US" w:eastAsia="zh-CN"/>
                <w14:textFill>
                  <w14:solidFill>
                    <w14:schemeClr w14:val="tx1"/>
                  </w14:solidFill>
                </w14:textFill>
              </w:rPr>
              <w:t>工伤保险以及</w:t>
            </w:r>
            <w:r>
              <w:rPr>
                <w:rFonts w:hint="eastAsia" w:ascii="宋体" w:hAnsi="宋体" w:eastAsia="宋体" w:cs="宋体"/>
                <w:color w:val="000000" w:themeColor="text1"/>
                <w14:textFill>
                  <w14:solidFill>
                    <w14:schemeClr w14:val="tx1"/>
                  </w14:solidFill>
                </w14:textFill>
              </w:rPr>
              <w:t>安全生产责任险。</w:t>
            </w:r>
          </w:p>
        </w:tc>
        <w:tc>
          <w:tcPr>
            <w:tcW w:w="792" w:type="dxa"/>
            <w:vAlign w:val="center"/>
          </w:tcPr>
          <w:p w14:paraId="56C0EBD4">
            <w:pPr>
              <w:bidi w:val="0"/>
              <w:jc w:val="center"/>
              <w:rPr>
                <w:rFonts w:hint="eastAsia" w:ascii="宋体" w:hAnsi="宋体" w:eastAsia="宋体" w:cs="宋体"/>
              </w:rPr>
            </w:pPr>
            <w:r>
              <w:rPr>
                <w:rFonts w:hint="eastAsia" w:ascii="宋体" w:hAnsi="宋体" w:eastAsia="宋体" w:cs="宋体"/>
              </w:rPr>
              <w:t>符合</w:t>
            </w:r>
          </w:p>
        </w:tc>
      </w:tr>
      <w:tr w14:paraId="7F974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7" w:hRule="atLeast"/>
          <w:jc w:val="center"/>
        </w:trPr>
        <w:tc>
          <w:tcPr>
            <w:tcW w:w="727" w:type="dxa"/>
            <w:vAlign w:val="center"/>
          </w:tcPr>
          <w:p w14:paraId="2478771D">
            <w:pPr>
              <w:bidi w:val="0"/>
              <w:jc w:val="center"/>
              <w:rPr>
                <w:rFonts w:hint="eastAsia" w:ascii="宋体" w:hAnsi="宋体" w:eastAsia="宋体" w:cs="宋体"/>
              </w:rPr>
            </w:pPr>
            <w:r>
              <w:rPr>
                <w:rFonts w:hint="eastAsia" w:ascii="宋体" w:hAnsi="宋体" w:eastAsia="宋体" w:cs="宋体"/>
              </w:rPr>
              <w:t>8</w:t>
            </w:r>
          </w:p>
        </w:tc>
        <w:tc>
          <w:tcPr>
            <w:tcW w:w="3375" w:type="dxa"/>
            <w:vAlign w:val="center"/>
          </w:tcPr>
          <w:p w14:paraId="48A38438">
            <w:pPr>
              <w:bidi w:val="0"/>
              <w:rPr>
                <w:rFonts w:hint="eastAsia" w:ascii="宋体" w:hAnsi="宋体" w:eastAsia="宋体" w:cs="宋体"/>
              </w:rPr>
            </w:pPr>
            <w:r>
              <w:rPr>
                <w:rFonts w:hint="eastAsia" w:ascii="宋体" w:hAnsi="宋体" w:eastAsia="宋体" w:cs="宋体"/>
              </w:rPr>
              <w:t>生产经营单位应当建立健全下列制度：（一）安全生产责任制度；（二）安全生产例会制度；（三）安全生产奖惩制度；（四）安全生产教育培训制度；（五）安全生产检查制度；（六）生产经营场所、设备、设施安全管理制度；（七）安全生产风险分级管理控制制度；（八）危险源管理制度；（九）安全生产应急管理和事故报告处理制度；（十）危险作业、特种作业人员、劳动防护用品管理制度；（十一）法律法规规定的其他安全生产制度。</w:t>
            </w:r>
          </w:p>
        </w:tc>
        <w:tc>
          <w:tcPr>
            <w:tcW w:w="2104" w:type="dxa"/>
            <w:vAlign w:val="center"/>
          </w:tcPr>
          <w:p w14:paraId="3AF5E283">
            <w:pPr>
              <w:bidi w:val="0"/>
              <w:jc w:val="center"/>
              <w:rPr>
                <w:rFonts w:hint="eastAsia" w:ascii="宋体" w:hAnsi="宋体" w:eastAsia="宋体" w:cs="宋体"/>
              </w:rPr>
            </w:pPr>
            <w:r>
              <w:rPr>
                <w:rFonts w:hint="eastAsia" w:ascii="宋体" w:hAnsi="宋体" w:eastAsia="宋体" w:cs="宋体"/>
              </w:rPr>
              <w:t>《云南省安全生产条例》第二章第18条</w:t>
            </w:r>
          </w:p>
        </w:tc>
        <w:tc>
          <w:tcPr>
            <w:tcW w:w="2406" w:type="dxa"/>
            <w:vAlign w:val="center"/>
          </w:tcPr>
          <w:p w14:paraId="54E6E2BC">
            <w:pPr>
              <w:bidi w:val="0"/>
              <w:jc w:val="center"/>
              <w:rPr>
                <w:rFonts w:hint="eastAsia" w:ascii="宋体" w:hAnsi="宋体" w:eastAsia="宋体" w:cs="宋体"/>
              </w:rPr>
            </w:pPr>
            <w:r>
              <w:rPr>
                <w:rFonts w:hint="eastAsia" w:ascii="宋体" w:hAnsi="宋体" w:eastAsia="宋体" w:cs="宋体"/>
              </w:rPr>
              <w:t>该加油站已建立的各项安全管理制度：全员安全生产责任制度、危险化学品安全管理制度、安全投入保障制度、安全生产奖惩制度、安全生产教育培训制度、隐患排查治理制度、安全风险管理制度、应急管理制度、事故管理制度、危险化学品购销管理制度、职业卫生管理制度。</w:t>
            </w:r>
          </w:p>
        </w:tc>
        <w:tc>
          <w:tcPr>
            <w:tcW w:w="792" w:type="dxa"/>
            <w:vAlign w:val="center"/>
          </w:tcPr>
          <w:p w14:paraId="0061B89F">
            <w:pPr>
              <w:bidi w:val="0"/>
              <w:jc w:val="center"/>
              <w:rPr>
                <w:rFonts w:hint="eastAsia" w:ascii="宋体" w:hAnsi="宋体" w:eastAsia="宋体" w:cs="宋体"/>
              </w:rPr>
            </w:pPr>
            <w:r>
              <w:rPr>
                <w:rFonts w:hint="eastAsia" w:ascii="宋体" w:hAnsi="宋体" w:eastAsia="宋体" w:cs="宋体"/>
              </w:rPr>
              <w:t>符合</w:t>
            </w:r>
          </w:p>
        </w:tc>
      </w:tr>
      <w:tr w14:paraId="3C129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3" w:hRule="atLeast"/>
          <w:jc w:val="center"/>
        </w:trPr>
        <w:tc>
          <w:tcPr>
            <w:tcW w:w="727" w:type="dxa"/>
            <w:vAlign w:val="center"/>
          </w:tcPr>
          <w:p w14:paraId="400BD502">
            <w:pPr>
              <w:bidi w:val="0"/>
              <w:jc w:val="center"/>
              <w:rPr>
                <w:rFonts w:hint="eastAsia" w:ascii="宋体" w:hAnsi="宋体" w:eastAsia="宋体" w:cs="宋体"/>
              </w:rPr>
            </w:pPr>
            <w:r>
              <w:rPr>
                <w:rFonts w:hint="eastAsia" w:ascii="宋体" w:hAnsi="宋体" w:eastAsia="宋体" w:cs="宋体"/>
              </w:rPr>
              <w:t>9</w:t>
            </w:r>
          </w:p>
        </w:tc>
        <w:tc>
          <w:tcPr>
            <w:tcW w:w="3375" w:type="dxa"/>
            <w:vAlign w:val="center"/>
          </w:tcPr>
          <w:p w14:paraId="587D1EB5">
            <w:pPr>
              <w:bidi w:val="0"/>
              <w:rPr>
                <w:rFonts w:hint="eastAsia" w:ascii="宋体" w:hAnsi="宋体" w:eastAsia="宋体" w:cs="宋体"/>
              </w:rPr>
            </w:pPr>
            <w:r>
              <w:rPr>
                <w:rFonts w:hint="eastAsia" w:ascii="宋体" w:hAnsi="宋体" w:eastAsia="宋体" w:cs="宋体"/>
              </w:rPr>
              <w:t>危险化学品单位应当按照《危险化学品重大危险源辨识》标准，对本单位的危险化学品生产、经营、储存和使用装置、设施或者场所进行重大危险源辨识，并记录辨识过程与结果。</w:t>
            </w:r>
          </w:p>
        </w:tc>
        <w:tc>
          <w:tcPr>
            <w:tcW w:w="2104" w:type="dxa"/>
            <w:vAlign w:val="center"/>
          </w:tcPr>
          <w:p w14:paraId="2E19D7DB">
            <w:pPr>
              <w:bidi w:val="0"/>
              <w:jc w:val="center"/>
              <w:rPr>
                <w:rFonts w:hint="eastAsia" w:ascii="宋体" w:hAnsi="宋体" w:eastAsia="宋体" w:cs="宋体"/>
              </w:rPr>
            </w:pPr>
            <w:r>
              <w:rPr>
                <w:rFonts w:hint="eastAsia" w:ascii="宋体" w:hAnsi="宋体" w:eastAsia="宋体" w:cs="宋体"/>
              </w:rPr>
              <w:t>《危险化学品重大危险源监督管理暂行规定》（国家安全生产监督管理总局令第40号，2015年修订）第7条</w:t>
            </w:r>
          </w:p>
        </w:tc>
        <w:tc>
          <w:tcPr>
            <w:tcW w:w="2406" w:type="dxa"/>
            <w:vAlign w:val="center"/>
          </w:tcPr>
          <w:p w14:paraId="3B4294E4">
            <w:pPr>
              <w:bidi w:val="0"/>
              <w:jc w:val="center"/>
              <w:rPr>
                <w:rFonts w:hint="eastAsia" w:ascii="宋体" w:hAnsi="宋体" w:eastAsia="宋体" w:cs="宋体"/>
              </w:rPr>
            </w:pPr>
            <w:r>
              <w:rPr>
                <w:rFonts w:hint="eastAsia" w:ascii="宋体" w:hAnsi="宋体" w:eastAsia="宋体" w:cs="宋体"/>
              </w:rPr>
              <w:t>已按照《危险化学品重大危险源辨识》的相关要求进行了重大危险源辨识，并记录了辨识过程与结果。</w:t>
            </w:r>
          </w:p>
        </w:tc>
        <w:tc>
          <w:tcPr>
            <w:tcW w:w="792" w:type="dxa"/>
            <w:vAlign w:val="center"/>
          </w:tcPr>
          <w:p w14:paraId="4F3DB6FB">
            <w:pPr>
              <w:bidi w:val="0"/>
              <w:jc w:val="center"/>
              <w:rPr>
                <w:rFonts w:hint="eastAsia" w:ascii="宋体" w:hAnsi="宋体" w:eastAsia="宋体" w:cs="宋体"/>
              </w:rPr>
            </w:pPr>
            <w:r>
              <w:rPr>
                <w:rFonts w:hint="eastAsia" w:ascii="宋体" w:hAnsi="宋体" w:eastAsia="宋体" w:cs="宋体"/>
              </w:rPr>
              <w:t>符合</w:t>
            </w:r>
          </w:p>
        </w:tc>
      </w:tr>
      <w:tr w14:paraId="18474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jc w:val="center"/>
        </w:trPr>
        <w:tc>
          <w:tcPr>
            <w:tcW w:w="727" w:type="dxa"/>
            <w:vAlign w:val="center"/>
          </w:tcPr>
          <w:p w14:paraId="635AEB60">
            <w:pPr>
              <w:bidi w:val="0"/>
              <w:jc w:val="center"/>
              <w:rPr>
                <w:rFonts w:hint="eastAsia" w:ascii="宋体" w:hAnsi="宋体" w:eastAsia="宋体" w:cs="宋体"/>
              </w:rPr>
            </w:pPr>
            <w:r>
              <w:rPr>
                <w:rFonts w:hint="eastAsia" w:ascii="宋体" w:hAnsi="宋体" w:eastAsia="宋体" w:cs="宋体"/>
              </w:rPr>
              <w:t>10</w:t>
            </w:r>
          </w:p>
        </w:tc>
        <w:tc>
          <w:tcPr>
            <w:tcW w:w="3375" w:type="dxa"/>
            <w:vAlign w:val="center"/>
          </w:tcPr>
          <w:p w14:paraId="56EEAAE7">
            <w:pPr>
              <w:bidi w:val="0"/>
              <w:rPr>
                <w:rFonts w:hint="eastAsia" w:ascii="宋体" w:hAnsi="宋体" w:eastAsia="宋体" w:cs="宋体"/>
              </w:rPr>
            </w:pPr>
            <w:r>
              <w:rPr>
                <w:rFonts w:hint="eastAsia" w:ascii="宋体" w:hAnsi="宋体" w:eastAsia="宋体" w:cs="宋体"/>
              </w:rPr>
              <w:t>危险化学品单位应当对重大危险源进行安全评估并确定重大危险源等级。危险化学品单位可以组织本单位的注册安全工程师、技术人员或者聘请有关专家进行安全评估，也可以委托具有相应资质的安全评价机构进行安全评估。</w:t>
            </w:r>
          </w:p>
        </w:tc>
        <w:tc>
          <w:tcPr>
            <w:tcW w:w="2104" w:type="dxa"/>
            <w:vAlign w:val="center"/>
          </w:tcPr>
          <w:p w14:paraId="13CE92C8">
            <w:pPr>
              <w:bidi w:val="0"/>
              <w:jc w:val="center"/>
              <w:rPr>
                <w:rFonts w:hint="eastAsia" w:ascii="宋体" w:hAnsi="宋体" w:eastAsia="宋体" w:cs="宋体"/>
              </w:rPr>
            </w:pPr>
            <w:r>
              <w:rPr>
                <w:rFonts w:hint="eastAsia" w:ascii="宋体" w:hAnsi="宋体" w:eastAsia="宋体" w:cs="宋体"/>
              </w:rPr>
              <w:t>《危险化学品重大危险源监督管理暂行规定》（国家安全生产监督管理总局令第40号，2015年修订）第8条</w:t>
            </w:r>
          </w:p>
        </w:tc>
        <w:tc>
          <w:tcPr>
            <w:tcW w:w="2406" w:type="dxa"/>
            <w:vAlign w:val="center"/>
          </w:tcPr>
          <w:p w14:paraId="561A3FF9">
            <w:pPr>
              <w:bidi w:val="0"/>
              <w:jc w:val="center"/>
              <w:rPr>
                <w:rFonts w:hint="eastAsia" w:ascii="宋体" w:hAnsi="宋体" w:eastAsia="宋体" w:cs="宋体"/>
              </w:rPr>
            </w:pPr>
            <w:r>
              <w:rPr>
                <w:rFonts w:hint="eastAsia" w:ascii="宋体" w:hAnsi="宋体" w:eastAsia="宋体" w:cs="宋体"/>
              </w:rPr>
              <w:t>经辨识，该加油站未构成重大危险源。</w:t>
            </w:r>
          </w:p>
        </w:tc>
        <w:tc>
          <w:tcPr>
            <w:tcW w:w="792" w:type="dxa"/>
            <w:vAlign w:val="center"/>
          </w:tcPr>
          <w:p w14:paraId="2ED160D5">
            <w:pPr>
              <w:bidi w:val="0"/>
              <w:jc w:val="center"/>
              <w:rPr>
                <w:rFonts w:hint="eastAsia" w:ascii="宋体" w:hAnsi="宋体" w:eastAsia="宋体" w:cs="宋体"/>
              </w:rPr>
            </w:pPr>
            <w:r>
              <w:rPr>
                <w:rFonts w:hint="eastAsia" w:ascii="宋体" w:hAnsi="宋体" w:eastAsia="宋体" w:cs="宋体"/>
              </w:rPr>
              <w:t>不涉</w:t>
            </w:r>
          </w:p>
          <w:p w14:paraId="1C955310">
            <w:pPr>
              <w:bidi w:val="0"/>
              <w:jc w:val="center"/>
              <w:rPr>
                <w:rFonts w:hint="eastAsia" w:ascii="宋体" w:hAnsi="宋体" w:eastAsia="宋体" w:cs="宋体"/>
              </w:rPr>
            </w:pPr>
            <w:r>
              <w:rPr>
                <w:rFonts w:hint="eastAsia" w:ascii="宋体" w:hAnsi="宋体" w:eastAsia="宋体" w:cs="宋体"/>
              </w:rPr>
              <w:t>及</w:t>
            </w:r>
          </w:p>
        </w:tc>
      </w:tr>
      <w:tr w14:paraId="1A80F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9404" w:type="dxa"/>
            <w:gridSpan w:val="5"/>
            <w:vAlign w:val="center"/>
          </w:tcPr>
          <w:p w14:paraId="4D5F0727">
            <w:pPr>
              <w:bidi w:val="0"/>
              <w:jc w:val="center"/>
              <w:rPr>
                <w:rFonts w:hint="eastAsia" w:ascii="宋体" w:hAnsi="宋体" w:eastAsia="宋体" w:cs="宋体"/>
              </w:rPr>
            </w:pPr>
            <w:r>
              <w:rPr>
                <w:rFonts w:hint="eastAsia" w:ascii="宋体" w:hAnsi="宋体" w:eastAsia="宋体" w:cs="宋体"/>
                <w:b/>
                <w:bCs/>
              </w:rPr>
              <w:t>安全教育培训</w:t>
            </w:r>
          </w:p>
        </w:tc>
      </w:tr>
      <w:tr w14:paraId="21182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jc w:val="center"/>
        </w:trPr>
        <w:tc>
          <w:tcPr>
            <w:tcW w:w="727" w:type="dxa"/>
            <w:vAlign w:val="center"/>
          </w:tcPr>
          <w:p w14:paraId="5E59BF0E">
            <w:pPr>
              <w:bidi w:val="0"/>
              <w:jc w:val="center"/>
              <w:rPr>
                <w:rFonts w:hint="eastAsia" w:ascii="宋体" w:hAnsi="宋体" w:eastAsia="宋体" w:cs="宋体"/>
              </w:rPr>
            </w:pPr>
          </w:p>
          <w:p w14:paraId="4FA2DAB3">
            <w:pPr>
              <w:bidi w:val="0"/>
              <w:jc w:val="center"/>
              <w:rPr>
                <w:rFonts w:hint="eastAsia" w:ascii="宋体" w:hAnsi="宋体" w:eastAsia="宋体" w:cs="宋体"/>
                <w:lang w:val="en-US" w:eastAsia="zh-CN"/>
              </w:rPr>
            </w:pPr>
            <w:r>
              <w:rPr>
                <w:rFonts w:hint="eastAsia" w:ascii="宋体" w:hAnsi="宋体" w:eastAsia="宋体" w:cs="宋体"/>
                <w:lang w:val="en-US" w:eastAsia="zh-CN"/>
              </w:rPr>
              <w:t>11</w:t>
            </w:r>
          </w:p>
        </w:tc>
        <w:tc>
          <w:tcPr>
            <w:tcW w:w="3375" w:type="dxa"/>
            <w:vAlign w:val="center"/>
          </w:tcPr>
          <w:p w14:paraId="05DE5E56">
            <w:pPr>
              <w:bidi w:val="0"/>
              <w:rPr>
                <w:rFonts w:hint="eastAsia" w:ascii="宋体" w:hAnsi="宋体" w:eastAsia="宋体" w:cs="宋体"/>
              </w:rPr>
            </w:pPr>
            <w:r>
              <w:rPr>
                <w:rFonts w:hint="eastAsia" w:ascii="宋体" w:hAnsi="宋体" w:eastAsia="宋体" w:cs="宋体"/>
              </w:rPr>
              <w:t>生产经营单位应当按照安全生产法和有关法律、行政法规和本规定，建立健全安全培训工作制度。</w:t>
            </w:r>
          </w:p>
        </w:tc>
        <w:tc>
          <w:tcPr>
            <w:tcW w:w="2104" w:type="dxa"/>
            <w:vAlign w:val="center"/>
          </w:tcPr>
          <w:p w14:paraId="200B6072">
            <w:pPr>
              <w:bidi w:val="0"/>
              <w:jc w:val="center"/>
              <w:rPr>
                <w:rFonts w:hint="eastAsia" w:ascii="宋体" w:hAnsi="宋体" w:eastAsia="宋体" w:cs="宋体"/>
              </w:rPr>
            </w:pPr>
            <w:r>
              <w:rPr>
                <w:rFonts w:hint="eastAsia" w:ascii="宋体" w:hAnsi="宋体" w:eastAsia="宋体" w:cs="宋体"/>
              </w:rPr>
              <w:t>《生产经营单位安全培训规定》（国家安监总局令第3号，2015年修订）第3条</w:t>
            </w:r>
          </w:p>
        </w:tc>
        <w:tc>
          <w:tcPr>
            <w:tcW w:w="2406" w:type="dxa"/>
            <w:vAlign w:val="center"/>
          </w:tcPr>
          <w:p w14:paraId="6AFB11AC">
            <w:pPr>
              <w:bidi w:val="0"/>
              <w:jc w:val="center"/>
              <w:rPr>
                <w:rFonts w:hint="eastAsia" w:ascii="宋体" w:hAnsi="宋体" w:eastAsia="宋体" w:cs="宋体"/>
              </w:rPr>
            </w:pPr>
            <w:r>
              <w:rPr>
                <w:rFonts w:hint="eastAsia" w:ascii="宋体" w:hAnsi="宋体" w:eastAsia="宋体" w:cs="宋体"/>
              </w:rPr>
              <w:t>该加油站已建立安全教育培训制度。</w:t>
            </w:r>
          </w:p>
        </w:tc>
        <w:tc>
          <w:tcPr>
            <w:tcW w:w="792" w:type="dxa"/>
            <w:vAlign w:val="center"/>
          </w:tcPr>
          <w:p w14:paraId="5DE1B51F">
            <w:pPr>
              <w:bidi w:val="0"/>
              <w:jc w:val="center"/>
              <w:rPr>
                <w:rFonts w:hint="eastAsia" w:ascii="宋体" w:hAnsi="宋体" w:eastAsia="宋体" w:cs="宋体"/>
              </w:rPr>
            </w:pPr>
          </w:p>
          <w:p w14:paraId="65F35EBE">
            <w:pPr>
              <w:bidi w:val="0"/>
              <w:jc w:val="center"/>
              <w:rPr>
                <w:rFonts w:hint="eastAsia" w:ascii="宋体" w:hAnsi="宋体" w:eastAsia="宋体" w:cs="宋体"/>
              </w:rPr>
            </w:pPr>
            <w:r>
              <w:rPr>
                <w:rFonts w:hint="eastAsia" w:ascii="宋体" w:hAnsi="宋体" w:eastAsia="宋体" w:cs="宋体"/>
              </w:rPr>
              <w:t>符合</w:t>
            </w:r>
          </w:p>
        </w:tc>
      </w:tr>
      <w:tr w14:paraId="56E5B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8" w:hRule="atLeast"/>
          <w:jc w:val="center"/>
        </w:trPr>
        <w:tc>
          <w:tcPr>
            <w:tcW w:w="727" w:type="dxa"/>
            <w:vAlign w:val="center"/>
          </w:tcPr>
          <w:p w14:paraId="3306FE4C">
            <w:pPr>
              <w:bidi w:val="0"/>
              <w:jc w:val="center"/>
              <w:rPr>
                <w:rFonts w:hint="eastAsia" w:ascii="宋体" w:hAnsi="宋体" w:eastAsia="宋体" w:cs="宋体"/>
                <w:lang w:val="en-US" w:eastAsia="zh-CN"/>
              </w:rPr>
            </w:pPr>
            <w:r>
              <w:rPr>
                <w:rFonts w:hint="eastAsia" w:ascii="宋体" w:hAnsi="宋体" w:eastAsia="宋体" w:cs="宋体"/>
                <w:lang w:val="en-US" w:eastAsia="zh-CN"/>
              </w:rPr>
              <w:t>12</w:t>
            </w:r>
          </w:p>
        </w:tc>
        <w:tc>
          <w:tcPr>
            <w:tcW w:w="3375" w:type="dxa"/>
            <w:vAlign w:val="center"/>
          </w:tcPr>
          <w:p w14:paraId="4895164F">
            <w:pPr>
              <w:bidi w:val="0"/>
              <w:rPr>
                <w:rFonts w:hint="eastAsia" w:ascii="宋体" w:hAnsi="宋体" w:eastAsia="宋体" w:cs="宋体"/>
              </w:rPr>
            </w:pPr>
            <w:r>
              <w:rPr>
                <w:rFonts w:hint="eastAsia" w:ascii="宋体" w:hAnsi="宋体" w:eastAsia="宋体" w:cs="宋体"/>
              </w:rPr>
              <w:t>生产经营单位应当进行安全培训的从业人员包括主要负责人、安全生产管理人员、特种作业人员和其他从业人员。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生产经营单位接收中等职业学校、高等学校学生实习的，应当对实习学生进行相应的安全生产教育和培训，提供必要的劳动防护用品。学校应当协助生产经营单位对实习学生进行安全生产教育和培训。生产经营单位从业人员应当接受安全培训，熟悉有关安全生产规章制度和安全操作规程，具备必要的安全生产知识，掌握本岗位的安全操作技能，了解事故应急处理措施，知悉自身在安全生产方面的权利和义务。“未经安全培训合格的从业人员，不得上岗作业。”</w:t>
            </w:r>
          </w:p>
        </w:tc>
        <w:tc>
          <w:tcPr>
            <w:tcW w:w="2104" w:type="dxa"/>
            <w:vAlign w:val="center"/>
          </w:tcPr>
          <w:p w14:paraId="74ADEC79">
            <w:pPr>
              <w:bidi w:val="0"/>
              <w:jc w:val="center"/>
              <w:rPr>
                <w:rFonts w:hint="eastAsia" w:ascii="宋体" w:hAnsi="宋体" w:eastAsia="宋体" w:cs="宋体"/>
              </w:rPr>
            </w:pPr>
            <w:r>
              <w:rPr>
                <w:rFonts w:hint="eastAsia" w:ascii="宋体" w:hAnsi="宋体" w:eastAsia="宋体" w:cs="宋体"/>
              </w:rPr>
              <w:t>《生产经营单位安全培训规定》（国家安监总局令第3号，2015年修订）第4条</w:t>
            </w:r>
          </w:p>
        </w:tc>
        <w:tc>
          <w:tcPr>
            <w:tcW w:w="2406" w:type="dxa"/>
            <w:vAlign w:val="center"/>
          </w:tcPr>
          <w:p w14:paraId="0392A902">
            <w:pPr>
              <w:bidi w:val="0"/>
              <w:jc w:val="center"/>
              <w:rPr>
                <w:rFonts w:hint="eastAsia" w:ascii="宋体" w:hAnsi="宋体" w:eastAsia="宋体" w:cs="宋体"/>
              </w:rPr>
            </w:pPr>
            <w:r>
              <w:rPr>
                <w:rFonts w:hint="eastAsia" w:ascii="宋体" w:hAnsi="宋体" w:eastAsia="宋体" w:cs="宋体"/>
                <w:lang w:eastAsia="zh-CN"/>
              </w:rPr>
              <w:t>所有</w:t>
            </w:r>
            <w:r>
              <w:rPr>
                <w:rFonts w:hint="eastAsia" w:ascii="宋体" w:hAnsi="宋体" w:eastAsia="宋体" w:cs="宋体"/>
              </w:rPr>
              <w:t>从业人员均经过培训合格后上岗。</w:t>
            </w:r>
          </w:p>
        </w:tc>
        <w:tc>
          <w:tcPr>
            <w:tcW w:w="792" w:type="dxa"/>
            <w:vAlign w:val="center"/>
          </w:tcPr>
          <w:p w14:paraId="5D246BAD">
            <w:pPr>
              <w:bidi w:val="0"/>
              <w:jc w:val="center"/>
              <w:rPr>
                <w:rFonts w:hint="eastAsia" w:ascii="宋体" w:hAnsi="宋体" w:eastAsia="宋体" w:cs="宋体"/>
              </w:rPr>
            </w:pPr>
            <w:r>
              <w:rPr>
                <w:rFonts w:hint="eastAsia" w:ascii="宋体" w:hAnsi="宋体" w:eastAsia="宋体" w:cs="宋体"/>
              </w:rPr>
              <w:t>符合</w:t>
            </w:r>
          </w:p>
        </w:tc>
      </w:tr>
      <w:tr w14:paraId="513B9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jc w:val="center"/>
        </w:trPr>
        <w:tc>
          <w:tcPr>
            <w:tcW w:w="727" w:type="dxa"/>
            <w:vAlign w:val="center"/>
          </w:tcPr>
          <w:p w14:paraId="24E7B1C4">
            <w:pPr>
              <w:bidi w:val="0"/>
              <w:jc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3</w:t>
            </w:r>
          </w:p>
        </w:tc>
        <w:tc>
          <w:tcPr>
            <w:tcW w:w="3375" w:type="dxa"/>
            <w:vAlign w:val="center"/>
          </w:tcPr>
          <w:p w14:paraId="16B64242">
            <w:pPr>
              <w:bidi w:val="0"/>
              <w:rPr>
                <w:rFonts w:hint="eastAsia" w:ascii="宋体" w:hAnsi="宋体" w:eastAsia="宋体" w:cs="宋体"/>
              </w:rPr>
            </w:pPr>
            <w:r>
              <w:rPr>
                <w:rFonts w:hint="eastAsia" w:ascii="宋体" w:hAnsi="宋体" w:eastAsia="宋体" w:cs="宋体"/>
              </w:rPr>
              <w:t>生产经营单位主要负责人和安全生产管理人员应当接受安全培训，具备与所从事的生产经营活动相适应的安全生产知识和管理能力。</w:t>
            </w:r>
          </w:p>
        </w:tc>
        <w:tc>
          <w:tcPr>
            <w:tcW w:w="2104" w:type="dxa"/>
            <w:vAlign w:val="center"/>
          </w:tcPr>
          <w:p w14:paraId="5054F9C5">
            <w:pPr>
              <w:bidi w:val="0"/>
              <w:jc w:val="center"/>
              <w:rPr>
                <w:rFonts w:hint="eastAsia" w:ascii="宋体" w:hAnsi="宋体" w:eastAsia="宋体" w:cs="宋体"/>
              </w:rPr>
            </w:pPr>
            <w:r>
              <w:rPr>
                <w:rFonts w:hint="eastAsia" w:ascii="宋体" w:hAnsi="宋体" w:eastAsia="宋体" w:cs="宋体"/>
              </w:rPr>
              <w:t>《生产经营单位安全培训规定》（国家安监总局令第3号，2015年修订）第6条</w:t>
            </w:r>
          </w:p>
        </w:tc>
        <w:tc>
          <w:tcPr>
            <w:tcW w:w="2406" w:type="dxa"/>
            <w:vAlign w:val="center"/>
          </w:tcPr>
          <w:p w14:paraId="1E45A05E">
            <w:pPr>
              <w:bidi w:val="0"/>
              <w:jc w:val="center"/>
              <w:rPr>
                <w:rFonts w:hint="eastAsia" w:ascii="宋体" w:hAnsi="宋体" w:eastAsia="宋体" w:cs="宋体"/>
              </w:rPr>
            </w:pPr>
            <w:r>
              <w:rPr>
                <w:rFonts w:hint="eastAsia" w:ascii="宋体" w:hAnsi="宋体" w:eastAsia="宋体" w:cs="宋体"/>
              </w:rPr>
              <w:t>该加油站主要负责人和安全管理人员已经通过安全培训合格，具备与所从事的生产经营活动相适应的安全生产知识和管理能力。</w:t>
            </w:r>
          </w:p>
        </w:tc>
        <w:tc>
          <w:tcPr>
            <w:tcW w:w="792" w:type="dxa"/>
            <w:vAlign w:val="center"/>
          </w:tcPr>
          <w:p w14:paraId="29A0DB88">
            <w:pPr>
              <w:bidi w:val="0"/>
              <w:jc w:val="center"/>
              <w:rPr>
                <w:rFonts w:hint="eastAsia" w:ascii="宋体" w:hAnsi="宋体" w:eastAsia="宋体" w:cs="宋体"/>
              </w:rPr>
            </w:pPr>
            <w:r>
              <w:rPr>
                <w:rFonts w:hint="eastAsia" w:ascii="宋体" w:hAnsi="宋体" w:eastAsia="宋体" w:cs="宋体"/>
              </w:rPr>
              <w:t>符合</w:t>
            </w:r>
          </w:p>
        </w:tc>
      </w:tr>
      <w:tr w14:paraId="4B24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jc w:val="center"/>
        </w:trPr>
        <w:tc>
          <w:tcPr>
            <w:tcW w:w="727" w:type="dxa"/>
            <w:vAlign w:val="center"/>
          </w:tcPr>
          <w:p w14:paraId="488B1840">
            <w:pPr>
              <w:bidi w:val="0"/>
              <w:jc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4</w:t>
            </w:r>
          </w:p>
        </w:tc>
        <w:tc>
          <w:tcPr>
            <w:tcW w:w="3375" w:type="dxa"/>
            <w:vAlign w:val="center"/>
          </w:tcPr>
          <w:p w14:paraId="6CFC164D">
            <w:pPr>
              <w:bidi w:val="0"/>
              <w:rPr>
                <w:rFonts w:hint="eastAsia" w:ascii="宋体" w:hAnsi="宋体" w:eastAsia="宋体" w:cs="宋体"/>
              </w:rPr>
            </w:pPr>
            <w:r>
              <w:rPr>
                <w:rFonts w:hint="eastAsia" w:ascii="宋体" w:hAnsi="宋体" w:eastAsia="宋体" w:cs="宋体"/>
              </w:rPr>
              <w:t>煤矿、非煤矿山、危险化学品、烟花爆竹等生产经营单位主要负责人和安全生产管理人员，必须接受专门的安全培训，经安全生产监管监察部门对其安全生产知识和管理能力考核合格，取得安全资格证书后，方可任职。</w:t>
            </w:r>
          </w:p>
        </w:tc>
        <w:tc>
          <w:tcPr>
            <w:tcW w:w="2104" w:type="dxa"/>
            <w:vAlign w:val="center"/>
          </w:tcPr>
          <w:p w14:paraId="52F07095">
            <w:pPr>
              <w:bidi w:val="0"/>
              <w:jc w:val="center"/>
              <w:rPr>
                <w:rFonts w:hint="eastAsia" w:ascii="宋体" w:hAnsi="宋体" w:eastAsia="宋体" w:cs="宋体"/>
              </w:rPr>
            </w:pPr>
            <w:r>
              <w:rPr>
                <w:rFonts w:hint="eastAsia" w:ascii="宋体" w:hAnsi="宋体" w:eastAsia="宋体" w:cs="宋体"/>
              </w:rPr>
              <w:t>《生产经营单位安全培训规定》（国家安监总局令第3号，2015年修订版）第二十四条</w:t>
            </w:r>
          </w:p>
        </w:tc>
        <w:tc>
          <w:tcPr>
            <w:tcW w:w="2406" w:type="dxa"/>
            <w:vAlign w:val="center"/>
          </w:tcPr>
          <w:p w14:paraId="60086773">
            <w:pPr>
              <w:bidi w:val="0"/>
              <w:jc w:val="center"/>
              <w:rPr>
                <w:rFonts w:hint="eastAsia" w:ascii="宋体" w:hAnsi="宋体" w:eastAsia="宋体" w:cs="宋体"/>
              </w:rPr>
            </w:pPr>
            <w:r>
              <w:rPr>
                <w:rFonts w:hint="eastAsia" w:ascii="宋体" w:hAnsi="宋体" w:eastAsia="宋体" w:cs="宋体"/>
              </w:rPr>
              <w:t>该加油站主要负责人和安全管理人员持证上岗。</w:t>
            </w:r>
          </w:p>
        </w:tc>
        <w:tc>
          <w:tcPr>
            <w:tcW w:w="792" w:type="dxa"/>
            <w:vAlign w:val="center"/>
          </w:tcPr>
          <w:p w14:paraId="76016C02">
            <w:pPr>
              <w:bidi w:val="0"/>
              <w:jc w:val="center"/>
              <w:rPr>
                <w:rFonts w:hint="eastAsia" w:ascii="宋体" w:hAnsi="宋体" w:eastAsia="宋体" w:cs="宋体"/>
              </w:rPr>
            </w:pPr>
            <w:r>
              <w:rPr>
                <w:rFonts w:hint="eastAsia" w:ascii="宋体" w:hAnsi="宋体" w:eastAsia="宋体" w:cs="宋体"/>
              </w:rPr>
              <w:t>符合</w:t>
            </w:r>
          </w:p>
        </w:tc>
      </w:tr>
      <w:tr w14:paraId="65B1F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9404" w:type="dxa"/>
            <w:gridSpan w:val="5"/>
            <w:vAlign w:val="center"/>
          </w:tcPr>
          <w:p w14:paraId="4CBF5E12">
            <w:pPr>
              <w:bidi w:val="0"/>
              <w:jc w:val="center"/>
              <w:rPr>
                <w:rFonts w:hint="eastAsia" w:ascii="宋体" w:hAnsi="宋体" w:eastAsia="宋体" w:cs="宋体"/>
              </w:rPr>
            </w:pPr>
            <w:r>
              <w:rPr>
                <w:rFonts w:hint="eastAsia" w:ascii="宋体" w:hAnsi="宋体" w:eastAsia="宋体" w:cs="宋体"/>
                <w:b/>
                <w:bCs/>
              </w:rPr>
              <w:t>应急救援预案</w:t>
            </w:r>
          </w:p>
        </w:tc>
      </w:tr>
      <w:tr w14:paraId="7F0A8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727" w:type="dxa"/>
            <w:vAlign w:val="center"/>
          </w:tcPr>
          <w:p w14:paraId="75380F24">
            <w:pPr>
              <w:bidi w:val="0"/>
              <w:jc w:val="center"/>
              <w:rPr>
                <w:rFonts w:hint="eastAsia" w:ascii="宋体" w:hAnsi="宋体" w:eastAsia="宋体" w:cs="宋体"/>
                <w:lang w:val="en-US" w:eastAsia="zh-CN"/>
              </w:rPr>
            </w:pPr>
            <w:r>
              <w:rPr>
                <w:rFonts w:hint="eastAsia" w:ascii="宋体" w:hAnsi="宋体" w:eastAsia="宋体" w:cs="宋体"/>
                <w:lang w:val="en-US" w:eastAsia="zh-CN"/>
              </w:rPr>
              <w:t>15</w:t>
            </w:r>
          </w:p>
        </w:tc>
        <w:tc>
          <w:tcPr>
            <w:tcW w:w="3375" w:type="dxa"/>
            <w:vAlign w:val="center"/>
          </w:tcPr>
          <w:p w14:paraId="2E93E6F9">
            <w:pPr>
              <w:bidi w:val="0"/>
              <w:rPr>
                <w:rFonts w:hint="eastAsia" w:ascii="宋体" w:hAnsi="宋体" w:eastAsia="宋体" w:cs="宋体"/>
              </w:rPr>
            </w:pPr>
            <w:r>
              <w:rPr>
                <w:rFonts w:hint="eastAsia" w:ascii="宋体" w:hAnsi="宋体" w:eastAsia="宋体" w:cs="宋体"/>
              </w:rPr>
              <w:t>矿山、金属冶炼、城市轨道交通运营、建筑施工单位和危险物品的生产、经营、运输、储存、使用单位，应当配备必要应急救援器材、设备和物资，进行经常性维护、保养，保证其正常使用；建立专职或者兼职应急救援队伍，规模较小的可以委托具备能力的应急救援机构为其提供服务。</w:t>
            </w:r>
          </w:p>
        </w:tc>
        <w:tc>
          <w:tcPr>
            <w:tcW w:w="2104" w:type="dxa"/>
            <w:vAlign w:val="center"/>
          </w:tcPr>
          <w:p w14:paraId="63338442">
            <w:pPr>
              <w:bidi w:val="0"/>
              <w:jc w:val="center"/>
              <w:rPr>
                <w:rFonts w:hint="eastAsia" w:ascii="宋体" w:hAnsi="宋体" w:eastAsia="宋体" w:cs="宋体"/>
              </w:rPr>
            </w:pPr>
            <w:r>
              <w:rPr>
                <w:rFonts w:hint="eastAsia" w:ascii="宋体" w:hAnsi="宋体" w:eastAsia="宋体" w:cs="宋体"/>
              </w:rPr>
              <w:t>《云南省安全生产条例》第44条</w:t>
            </w:r>
          </w:p>
        </w:tc>
        <w:tc>
          <w:tcPr>
            <w:tcW w:w="2406" w:type="dxa"/>
            <w:vAlign w:val="center"/>
          </w:tcPr>
          <w:p w14:paraId="4BBC3B83">
            <w:pPr>
              <w:bidi w:val="0"/>
              <w:jc w:val="center"/>
              <w:rPr>
                <w:rFonts w:hint="eastAsia" w:ascii="宋体" w:hAnsi="宋体" w:eastAsia="宋体" w:cs="宋体"/>
              </w:rPr>
            </w:pPr>
            <w:r>
              <w:rPr>
                <w:rFonts w:hint="eastAsia" w:ascii="宋体" w:hAnsi="宋体" w:eastAsia="宋体" w:cs="宋体"/>
              </w:rPr>
              <w:t>该加油站已编制了应急救援预案，配备了救援器材。</w:t>
            </w:r>
          </w:p>
        </w:tc>
        <w:tc>
          <w:tcPr>
            <w:tcW w:w="792" w:type="dxa"/>
            <w:vAlign w:val="center"/>
          </w:tcPr>
          <w:p w14:paraId="2D3A363B">
            <w:pPr>
              <w:bidi w:val="0"/>
              <w:jc w:val="center"/>
              <w:rPr>
                <w:rFonts w:hint="eastAsia" w:ascii="宋体" w:hAnsi="宋体" w:eastAsia="宋体" w:cs="宋体"/>
              </w:rPr>
            </w:pPr>
            <w:r>
              <w:rPr>
                <w:rFonts w:hint="eastAsia" w:ascii="宋体" w:hAnsi="宋体" w:eastAsia="宋体" w:cs="宋体"/>
              </w:rPr>
              <w:t>符合</w:t>
            </w:r>
          </w:p>
        </w:tc>
      </w:tr>
      <w:tr w14:paraId="53B61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727" w:type="dxa"/>
            <w:vAlign w:val="center"/>
          </w:tcPr>
          <w:p w14:paraId="1DEC41AE">
            <w:pPr>
              <w:bidi w:val="0"/>
              <w:jc w:val="center"/>
              <w:rPr>
                <w:rFonts w:hint="eastAsia" w:ascii="宋体" w:hAnsi="宋体" w:eastAsia="宋体" w:cs="宋体"/>
                <w:lang w:val="en-US" w:eastAsia="zh-CN"/>
              </w:rPr>
            </w:pPr>
            <w:r>
              <w:rPr>
                <w:rFonts w:hint="eastAsia" w:ascii="宋体" w:hAnsi="宋体" w:eastAsia="宋体" w:cs="宋体"/>
                <w:lang w:val="en-US" w:eastAsia="zh-CN"/>
              </w:rPr>
              <w:t>16</w:t>
            </w:r>
          </w:p>
        </w:tc>
        <w:tc>
          <w:tcPr>
            <w:tcW w:w="3375" w:type="dxa"/>
            <w:vAlign w:val="center"/>
          </w:tcPr>
          <w:p w14:paraId="20D10F7D">
            <w:pPr>
              <w:bidi w:val="0"/>
              <w:rPr>
                <w:rFonts w:hint="eastAsia" w:ascii="宋体" w:hAnsi="宋体" w:eastAsia="宋体" w:cs="宋体"/>
              </w:rPr>
            </w:pPr>
            <w:r>
              <w:rPr>
                <w:rFonts w:hint="eastAsia" w:ascii="宋体" w:hAnsi="宋体" w:eastAsia="宋体" w:cs="宋体"/>
              </w:rPr>
              <w:t>第十六条生产经营单位的主要负责人除履行《中华人民共和国安全生产法》规定的职责外，还应当履行下列职责：（一）签订安全生产责任书，并组织落实；（二）组织制定和实施安全生产工作计划；（三）定期召开安全生产工作会议，研究解决相关重大问题；（四）组织开展事故应急救援演练。</w:t>
            </w:r>
          </w:p>
        </w:tc>
        <w:tc>
          <w:tcPr>
            <w:tcW w:w="2104" w:type="dxa"/>
            <w:vAlign w:val="center"/>
          </w:tcPr>
          <w:p w14:paraId="7FFE5366">
            <w:pPr>
              <w:bidi w:val="0"/>
              <w:jc w:val="center"/>
              <w:rPr>
                <w:rFonts w:hint="eastAsia" w:ascii="宋体" w:hAnsi="宋体" w:eastAsia="宋体" w:cs="宋体"/>
              </w:rPr>
            </w:pPr>
            <w:r>
              <w:rPr>
                <w:rFonts w:hint="eastAsia" w:ascii="宋体" w:hAnsi="宋体" w:eastAsia="宋体" w:cs="宋体"/>
              </w:rPr>
              <w:t>《云南省安全生产条例》第二章第十六</w:t>
            </w:r>
          </w:p>
          <w:p w14:paraId="7618EC0C">
            <w:pPr>
              <w:bidi w:val="0"/>
              <w:jc w:val="center"/>
              <w:rPr>
                <w:rFonts w:hint="eastAsia" w:ascii="宋体" w:hAnsi="宋体" w:eastAsia="宋体" w:cs="宋体"/>
              </w:rPr>
            </w:pPr>
            <w:r>
              <w:rPr>
                <w:rFonts w:hint="eastAsia" w:ascii="宋体" w:hAnsi="宋体" w:eastAsia="宋体" w:cs="宋体"/>
              </w:rPr>
              <w:t>条</w:t>
            </w:r>
          </w:p>
        </w:tc>
        <w:tc>
          <w:tcPr>
            <w:tcW w:w="2406" w:type="dxa"/>
            <w:vAlign w:val="center"/>
          </w:tcPr>
          <w:p w14:paraId="713AFBEC">
            <w:pPr>
              <w:bidi w:val="0"/>
              <w:jc w:val="center"/>
              <w:rPr>
                <w:rFonts w:hint="eastAsia" w:ascii="宋体" w:hAnsi="宋体" w:eastAsia="宋体" w:cs="宋体"/>
              </w:rPr>
            </w:pPr>
            <w:r>
              <w:rPr>
                <w:rFonts w:hint="eastAsia" w:ascii="宋体" w:hAnsi="宋体" w:eastAsia="宋体" w:cs="宋体"/>
              </w:rPr>
              <w:t>该加油站制定了事故应急救援预案、配备消防器材，进行了演练。</w:t>
            </w:r>
          </w:p>
        </w:tc>
        <w:tc>
          <w:tcPr>
            <w:tcW w:w="792" w:type="dxa"/>
            <w:vAlign w:val="center"/>
          </w:tcPr>
          <w:p w14:paraId="3E72ECF4">
            <w:pPr>
              <w:bidi w:val="0"/>
              <w:jc w:val="center"/>
              <w:rPr>
                <w:rFonts w:hint="eastAsia" w:ascii="宋体" w:hAnsi="宋体" w:eastAsia="宋体" w:cs="宋体"/>
              </w:rPr>
            </w:pPr>
            <w:r>
              <w:rPr>
                <w:rFonts w:hint="eastAsia" w:ascii="宋体" w:hAnsi="宋体" w:eastAsia="宋体" w:cs="宋体"/>
              </w:rPr>
              <w:t>符合</w:t>
            </w:r>
          </w:p>
        </w:tc>
      </w:tr>
      <w:tr w14:paraId="3BE17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jc w:val="center"/>
        </w:trPr>
        <w:tc>
          <w:tcPr>
            <w:tcW w:w="727" w:type="dxa"/>
            <w:vAlign w:val="center"/>
          </w:tcPr>
          <w:p w14:paraId="54077C96">
            <w:pPr>
              <w:bidi w:val="0"/>
              <w:jc w:val="center"/>
              <w:rPr>
                <w:rFonts w:hint="eastAsia" w:ascii="宋体" w:hAnsi="宋体" w:eastAsia="宋体" w:cs="宋体"/>
                <w:lang w:val="en-US" w:eastAsia="zh-CN"/>
              </w:rPr>
            </w:pPr>
            <w:r>
              <w:rPr>
                <w:rFonts w:hint="eastAsia" w:ascii="宋体" w:hAnsi="宋体" w:eastAsia="宋体" w:cs="宋体"/>
                <w:lang w:val="en-US" w:eastAsia="zh-CN"/>
              </w:rPr>
              <w:t>17</w:t>
            </w:r>
          </w:p>
        </w:tc>
        <w:tc>
          <w:tcPr>
            <w:tcW w:w="3375" w:type="dxa"/>
            <w:vAlign w:val="center"/>
          </w:tcPr>
          <w:p w14:paraId="3768CE55">
            <w:pPr>
              <w:bidi w:val="0"/>
              <w:rPr>
                <w:rFonts w:hint="eastAsia" w:ascii="宋体" w:hAnsi="宋体" w:eastAsia="宋体" w:cs="宋体"/>
              </w:rPr>
            </w:pPr>
            <w:r>
              <w:rPr>
                <w:rFonts w:hint="eastAsia" w:ascii="宋体" w:hAnsi="宋体" w:eastAsia="宋体" w:cs="宋体"/>
              </w:rPr>
              <w:t>企业应急预案要与当地政府应急预案保持衔接，并定期进行演练。赋予企业生产现场带班人员、班组长和调度人员在遇到险情时第一时间下达停产撤人命令的直接决策权和指挥权。因撤离不及时导致人身伤亡事故的，要从重追究相关人员的法律责任。</w:t>
            </w:r>
          </w:p>
        </w:tc>
        <w:tc>
          <w:tcPr>
            <w:tcW w:w="2104" w:type="dxa"/>
            <w:vAlign w:val="center"/>
          </w:tcPr>
          <w:p w14:paraId="3A805816">
            <w:pPr>
              <w:bidi w:val="0"/>
              <w:jc w:val="center"/>
              <w:rPr>
                <w:rFonts w:hint="eastAsia" w:ascii="宋体" w:hAnsi="宋体" w:eastAsia="宋体" w:cs="宋体"/>
              </w:rPr>
            </w:pPr>
            <w:r>
              <w:rPr>
                <w:rFonts w:hint="eastAsia" w:ascii="宋体" w:hAnsi="宋体" w:eastAsia="宋体" w:cs="宋体"/>
              </w:rPr>
              <w:t>《国务院关于进一步加强企业安全生产工作的通知》（国发〔2010〕23号）</w:t>
            </w:r>
          </w:p>
        </w:tc>
        <w:tc>
          <w:tcPr>
            <w:tcW w:w="2406" w:type="dxa"/>
            <w:vAlign w:val="center"/>
          </w:tcPr>
          <w:p w14:paraId="72DFBBD9">
            <w:pPr>
              <w:bidi w:val="0"/>
              <w:jc w:val="center"/>
              <w:rPr>
                <w:rFonts w:hint="eastAsia" w:ascii="宋体" w:hAnsi="宋体" w:eastAsia="宋体" w:cs="宋体"/>
              </w:rPr>
            </w:pPr>
            <w:r>
              <w:rPr>
                <w:rFonts w:hint="eastAsia" w:ascii="宋体" w:hAnsi="宋体" w:eastAsia="宋体" w:cs="宋体"/>
              </w:rPr>
              <w:t>该加油站编制的应急救援预案中有相关规定。应急预案已组织专家评审，评审修订后已报</w:t>
            </w:r>
            <w:r>
              <w:rPr>
                <w:rFonts w:hint="eastAsia" w:ascii="宋体" w:hAnsi="宋体" w:eastAsia="宋体" w:cs="宋体"/>
                <w:lang w:val="en-US" w:eastAsia="zh-CN"/>
              </w:rPr>
              <w:t>兰坪</w:t>
            </w:r>
            <w:r>
              <w:rPr>
                <w:rFonts w:hint="eastAsia" w:ascii="宋体" w:hAnsi="宋体" w:eastAsia="宋体" w:cs="宋体"/>
                <w:lang w:eastAsia="zh-CN"/>
              </w:rPr>
              <w:t>县</w:t>
            </w:r>
            <w:r>
              <w:rPr>
                <w:rFonts w:hint="eastAsia" w:ascii="宋体" w:hAnsi="宋体" w:eastAsia="宋体" w:cs="宋体"/>
              </w:rPr>
              <w:t>应急管理局办理备案手续，并进行了预案演练。</w:t>
            </w:r>
          </w:p>
        </w:tc>
        <w:tc>
          <w:tcPr>
            <w:tcW w:w="792" w:type="dxa"/>
            <w:vAlign w:val="center"/>
          </w:tcPr>
          <w:p w14:paraId="0ED3021E">
            <w:pPr>
              <w:bidi w:val="0"/>
              <w:jc w:val="center"/>
              <w:rPr>
                <w:rFonts w:hint="eastAsia" w:ascii="宋体" w:hAnsi="宋体" w:eastAsia="宋体" w:cs="宋体"/>
              </w:rPr>
            </w:pPr>
            <w:r>
              <w:rPr>
                <w:rFonts w:hint="eastAsia" w:ascii="宋体" w:hAnsi="宋体" w:eastAsia="宋体" w:cs="宋体"/>
              </w:rPr>
              <w:t>符合</w:t>
            </w:r>
          </w:p>
        </w:tc>
      </w:tr>
      <w:tr w14:paraId="27A1D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jc w:val="center"/>
        </w:trPr>
        <w:tc>
          <w:tcPr>
            <w:tcW w:w="727" w:type="dxa"/>
            <w:vAlign w:val="center"/>
          </w:tcPr>
          <w:p w14:paraId="55068000">
            <w:pPr>
              <w:bidi w:val="0"/>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3375" w:type="dxa"/>
            <w:vAlign w:val="center"/>
          </w:tcPr>
          <w:p w14:paraId="3218C032">
            <w:pPr>
              <w:bidi w:val="0"/>
              <w:rPr>
                <w:rFonts w:hint="eastAsia" w:ascii="宋体" w:hAnsi="宋体" w:eastAsia="宋体" w:cs="宋体"/>
              </w:rPr>
            </w:pPr>
            <w:r>
              <w:rPr>
                <w:rFonts w:hint="eastAsia" w:ascii="宋体" w:hAnsi="宋体" w:eastAsia="宋体" w:cs="宋体"/>
              </w:rPr>
              <w:t>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p>
          <w:p w14:paraId="32DA1CC7">
            <w:pPr>
              <w:bidi w:val="0"/>
              <w:rPr>
                <w:rFonts w:hint="eastAsia" w:ascii="宋体" w:hAnsi="宋体" w:eastAsia="宋体" w:cs="宋体"/>
              </w:rPr>
            </w:pPr>
            <w:r>
              <w:rPr>
                <w:rFonts w:hint="eastAsia" w:ascii="宋体" w:hAnsi="宋体" w:eastAsia="宋体" w:cs="宋体"/>
              </w:rPr>
              <w:t>前款规定以外的其他生产经营单位可以根据自身需要，对本单位编制的应急预案进行论证。</w:t>
            </w:r>
          </w:p>
        </w:tc>
        <w:tc>
          <w:tcPr>
            <w:tcW w:w="2104" w:type="dxa"/>
            <w:vAlign w:val="center"/>
          </w:tcPr>
          <w:p w14:paraId="3BD21CB3">
            <w:pPr>
              <w:bidi w:val="0"/>
              <w:jc w:val="center"/>
              <w:rPr>
                <w:rFonts w:hint="eastAsia" w:ascii="宋体" w:hAnsi="宋体" w:eastAsia="宋体" w:cs="宋体"/>
              </w:rPr>
            </w:pPr>
            <w:r>
              <w:rPr>
                <w:rFonts w:hint="eastAsia" w:ascii="宋体" w:hAnsi="宋体" w:eastAsia="宋体" w:cs="宋体"/>
              </w:rPr>
              <w:t>《生产安全事故应急预案管理办法》（中华人民共和国应急管理部令第2号，2019年9月1日起施行）第二十一条</w:t>
            </w:r>
          </w:p>
        </w:tc>
        <w:tc>
          <w:tcPr>
            <w:tcW w:w="2406" w:type="dxa"/>
            <w:vAlign w:val="center"/>
          </w:tcPr>
          <w:p w14:paraId="39DA4105">
            <w:pPr>
              <w:bidi w:val="0"/>
              <w:jc w:val="center"/>
              <w:rPr>
                <w:rFonts w:hint="eastAsia" w:ascii="宋体" w:hAnsi="宋体" w:eastAsia="宋体" w:cs="宋体"/>
              </w:rPr>
            </w:pPr>
            <w:r>
              <w:rPr>
                <w:rFonts w:hint="eastAsia" w:ascii="宋体" w:hAnsi="宋体" w:eastAsia="宋体" w:cs="宋体"/>
              </w:rPr>
              <w:t>已组织专家进行了评审、论证通过。</w:t>
            </w:r>
          </w:p>
        </w:tc>
        <w:tc>
          <w:tcPr>
            <w:tcW w:w="792" w:type="dxa"/>
            <w:vAlign w:val="center"/>
          </w:tcPr>
          <w:p w14:paraId="24E184B2">
            <w:pPr>
              <w:bidi w:val="0"/>
              <w:jc w:val="center"/>
              <w:rPr>
                <w:rFonts w:hint="eastAsia" w:ascii="宋体" w:hAnsi="宋体" w:eastAsia="宋体" w:cs="宋体"/>
              </w:rPr>
            </w:pPr>
            <w:r>
              <w:rPr>
                <w:rFonts w:hint="eastAsia" w:ascii="宋体" w:hAnsi="宋体" w:eastAsia="宋体" w:cs="宋体"/>
              </w:rPr>
              <w:t>符合</w:t>
            </w:r>
          </w:p>
        </w:tc>
      </w:tr>
      <w:tr w14:paraId="76811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jc w:val="center"/>
        </w:trPr>
        <w:tc>
          <w:tcPr>
            <w:tcW w:w="727" w:type="dxa"/>
            <w:vAlign w:val="center"/>
          </w:tcPr>
          <w:p w14:paraId="029F6BA4">
            <w:pPr>
              <w:bidi w:val="0"/>
              <w:jc w:val="center"/>
              <w:rPr>
                <w:rFonts w:hint="eastAsia" w:ascii="宋体" w:hAnsi="宋体" w:eastAsia="宋体" w:cs="宋体"/>
                <w:lang w:val="en-US" w:eastAsia="zh-CN"/>
              </w:rPr>
            </w:pPr>
            <w:r>
              <w:rPr>
                <w:rFonts w:hint="eastAsia" w:ascii="宋体" w:hAnsi="宋体" w:eastAsia="宋体" w:cs="宋体"/>
                <w:lang w:val="en-US" w:eastAsia="zh-CN"/>
              </w:rPr>
              <w:t>19</w:t>
            </w:r>
          </w:p>
        </w:tc>
        <w:tc>
          <w:tcPr>
            <w:tcW w:w="3375" w:type="dxa"/>
            <w:vAlign w:val="center"/>
          </w:tcPr>
          <w:p w14:paraId="71E7FAD0">
            <w:pPr>
              <w:bidi w:val="0"/>
              <w:rPr>
                <w:rFonts w:hint="eastAsia" w:ascii="宋体" w:hAnsi="宋体" w:eastAsia="宋体" w:cs="宋体"/>
              </w:rPr>
            </w:pPr>
            <w:r>
              <w:rPr>
                <w:rFonts w:hint="eastAsia" w:ascii="宋体" w:hAnsi="宋体" w:eastAsia="宋体" w:cs="宋体"/>
              </w:rPr>
              <w:t>生产经营单位申报应急预案备案，应当提交下列材料：</w:t>
            </w:r>
          </w:p>
          <w:p w14:paraId="5D5885F0">
            <w:pPr>
              <w:bidi w:val="0"/>
              <w:rPr>
                <w:rFonts w:hint="eastAsia" w:ascii="宋体" w:hAnsi="宋体" w:eastAsia="宋体" w:cs="宋体"/>
              </w:rPr>
            </w:pPr>
            <w:r>
              <w:rPr>
                <w:rFonts w:hint="eastAsia" w:ascii="宋体" w:hAnsi="宋体" w:eastAsia="宋体" w:cs="宋体"/>
              </w:rPr>
              <w:t>（一）应急预案备案申报表；</w:t>
            </w:r>
          </w:p>
          <w:p w14:paraId="06CF8581">
            <w:pPr>
              <w:bidi w:val="0"/>
              <w:rPr>
                <w:rFonts w:hint="eastAsia" w:ascii="宋体" w:hAnsi="宋体" w:eastAsia="宋体" w:cs="宋体"/>
              </w:rPr>
            </w:pPr>
            <w:r>
              <w:rPr>
                <w:rFonts w:hint="eastAsia" w:ascii="宋体" w:hAnsi="宋体" w:eastAsia="宋体" w:cs="宋体"/>
              </w:rPr>
              <w:t>（二）本办法第二十一条所列单位，应当提供应急预案评审意见；</w:t>
            </w:r>
          </w:p>
          <w:p w14:paraId="3FCA8EF6">
            <w:pPr>
              <w:bidi w:val="0"/>
              <w:rPr>
                <w:rFonts w:hint="eastAsia" w:ascii="宋体" w:hAnsi="宋体" w:eastAsia="宋体" w:cs="宋体"/>
              </w:rPr>
            </w:pPr>
            <w:r>
              <w:rPr>
                <w:rFonts w:hint="eastAsia" w:ascii="宋体" w:hAnsi="宋体" w:eastAsia="宋体" w:cs="宋体"/>
              </w:rPr>
              <w:t>（三）应急预案电子文档；</w:t>
            </w:r>
          </w:p>
          <w:p w14:paraId="5EABCF98">
            <w:pPr>
              <w:bidi w:val="0"/>
              <w:rPr>
                <w:rFonts w:hint="eastAsia" w:ascii="宋体" w:hAnsi="宋体" w:eastAsia="宋体" w:cs="宋体"/>
              </w:rPr>
            </w:pPr>
            <w:r>
              <w:rPr>
                <w:rFonts w:hint="eastAsia" w:ascii="宋体" w:hAnsi="宋体" w:eastAsia="宋体" w:cs="宋体"/>
              </w:rPr>
              <w:t>（四）风险评估结果和应急资源调查清单。</w:t>
            </w:r>
          </w:p>
        </w:tc>
        <w:tc>
          <w:tcPr>
            <w:tcW w:w="2104" w:type="dxa"/>
            <w:vAlign w:val="center"/>
          </w:tcPr>
          <w:p w14:paraId="6D9BE9AB">
            <w:pPr>
              <w:bidi w:val="0"/>
              <w:jc w:val="center"/>
              <w:rPr>
                <w:rFonts w:hint="eastAsia" w:ascii="宋体" w:hAnsi="宋体" w:eastAsia="宋体" w:cs="宋体"/>
              </w:rPr>
            </w:pPr>
            <w:r>
              <w:rPr>
                <w:rFonts w:hint="eastAsia" w:ascii="宋体" w:hAnsi="宋体" w:eastAsia="宋体" w:cs="宋体"/>
              </w:rPr>
              <w:t>《生产安全事故应急预案管理办法》（中华人民共和国应急管理部令第2号，2019年9月1日起施行）第二十七条</w:t>
            </w:r>
          </w:p>
        </w:tc>
        <w:tc>
          <w:tcPr>
            <w:tcW w:w="2406" w:type="dxa"/>
            <w:vAlign w:val="center"/>
          </w:tcPr>
          <w:p w14:paraId="0E46E95B">
            <w:pPr>
              <w:bidi w:val="0"/>
              <w:jc w:val="center"/>
              <w:rPr>
                <w:rFonts w:hint="eastAsia" w:ascii="宋体" w:hAnsi="宋体" w:eastAsia="宋体" w:cs="宋体"/>
              </w:rPr>
            </w:pPr>
            <w:r>
              <w:rPr>
                <w:rFonts w:hint="eastAsia" w:ascii="宋体" w:hAnsi="宋体" w:eastAsia="宋体" w:cs="宋体"/>
              </w:rPr>
              <w:t>应该加油站编制的应急救援预案中有相关规定，应急预案已组织专家评审，评审修订后已报</w:t>
            </w:r>
            <w:r>
              <w:rPr>
                <w:rFonts w:hint="eastAsia" w:ascii="宋体" w:hAnsi="宋体" w:eastAsia="宋体" w:cs="宋体"/>
                <w:lang w:val="en-US" w:eastAsia="zh-CN"/>
              </w:rPr>
              <w:t>兰坪</w:t>
            </w:r>
            <w:r>
              <w:rPr>
                <w:rFonts w:hint="eastAsia" w:ascii="宋体" w:hAnsi="宋体" w:eastAsia="宋体" w:cs="宋体"/>
                <w:lang w:eastAsia="zh-CN"/>
              </w:rPr>
              <w:t>县</w:t>
            </w:r>
            <w:r>
              <w:rPr>
                <w:rFonts w:hint="eastAsia" w:ascii="宋体" w:hAnsi="宋体" w:eastAsia="宋体" w:cs="宋体"/>
              </w:rPr>
              <w:t>应急管理局备案。</w:t>
            </w:r>
          </w:p>
        </w:tc>
        <w:tc>
          <w:tcPr>
            <w:tcW w:w="792" w:type="dxa"/>
            <w:vAlign w:val="center"/>
          </w:tcPr>
          <w:p w14:paraId="280AA18A">
            <w:pPr>
              <w:bidi w:val="0"/>
              <w:jc w:val="center"/>
              <w:rPr>
                <w:rFonts w:hint="eastAsia" w:ascii="宋体" w:hAnsi="宋体" w:eastAsia="宋体" w:cs="宋体"/>
              </w:rPr>
            </w:pPr>
            <w:r>
              <w:rPr>
                <w:rFonts w:hint="eastAsia" w:ascii="宋体" w:hAnsi="宋体" w:eastAsia="宋体" w:cs="宋体"/>
              </w:rPr>
              <w:t>符合</w:t>
            </w:r>
          </w:p>
        </w:tc>
      </w:tr>
      <w:tr w14:paraId="3985F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3" w:hRule="atLeast"/>
          <w:jc w:val="center"/>
        </w:trPr>
        <w:tc>
          <w:tcPr>
            <w:tcW w:w="727" w:type="dxa"/>
            <w:vAlign w:val="center"/>
          </w:tcPr>
          <w:p w14:paraId="596B1FF4">
            <w:pPr>
              <w:bidi w:val="0"/>
              <w:jc w:val="center"/>
              <w:rPr>
                <w:rFonts w:hint="eastAsia" w:ascii="宋体" w:hAnsi="宋体" w:eastAsia="宋体" w:cs="宋体"/>
                <w:lang w:val="en-US" w:eastAsia="zh-CN"/>
              </w:rPr>
            </w:pPr>
            <w:r>
              <w:rPr>
                <w:rFonts w:hint="eastAsia" w:ascii="宋体" w:hAnsi="宋体" w:eastAsia="宋体" w:cs="宋体"/>
                <w:lang w:val="en-US" w:eastAsia="zh-CN"/>
              </w:rPr>
              <w:t>20</w:t>
            </w:r>
          </w:p>
        </w:tc>
        <w:tc>
          <w:tcPr>
            <w:tcW w:w="3375" w:type="dxa"/>
            <w:vAlign w:val="center"/>
          </w:tcPr>
          <w:p w14:paraId="62C6178D">
            <w:pPr>
              <w:bidi w:val="0"/>
              <w:rPr>
                <w:rFonts w:hint="eastAsia" w:ascii="宋体" w:hAnsi="宋体" w:eastAsia="宋体" w:cs="宋体"/>
              </w:rPr>
            </w:pPr>
            <w:r>
              <w:rPr>
                <w:rFonts w:hint="eastAsia" w:ascii="宋体" w:hAnsi="宋体" w:eastAsia="宋体" w:cs="宋体"/>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p w14:paraId="678FE1E9">
            <w:pPr>
              <w:bidi w:val="0"/>
              <w:rPr>
                <w:rFonts w:hint="eastAsia" w:ascii="宋体" w:hAnsi="宋体" w:eastAsia="宋体" w:cs="宋体"/>
              </w:rPr>
            </w:pPr>
            <w:r>
              <w:rPr>
                <w:rFonts w:hint="eastAsia" w:ascii="宋体" w:hAnsi="宋体" w:eastAsia="宋体" w:cs="宋体"/>
              </w:rPr>
              <w:t>前款所列单位属于中央企业的，其总部（上市加油站）的应急预案，报国务院主管的负有安全生产监督管理职责的部门备案，并抄送应急管理部；其所属单位的应急预案报所在地的省、自治区、直辖市或者设区的市级人民政府主管的负有安全生产监督管理职责的部门备案，并抄送同级人民政府应急管理部门。</w:t>
            </w:r>
          </w:p>
          <w:p w14:paraId="22F30CEF">
            <w:pPr>
              <w:bidi w:val="0"/>
              <w:rPr>
                <w:rFonts w:hint="eastAsia" w:ascii="宋体" w:hAnsi="宋体" w:eastAsia="宋体" w:cs="宋体"/>
              </w:rPr>
            </w:pPr>
            <w:r>
              <w:rPr>
                <w:rFonts w:hint="eastAsia" w:ascii="宋体" w:hAnsi="宋体" w:eastAsia="宋体" w:cs="宋体"/>
              </w:rPr>
              <w:t>本条第一款所列单位不属于中央企业的，其中非煤矿山、金属冶炼和危险化学品生产、经营、储存、运输企业，以及使用危险化学品达到国家规定数量的化工企业、烟花爆竹生产、批发经营企业的应急预案，按照隶属关系报所在地县级以上地方人民政府应急管理部门备案；本款前述单位以外的其他生产经营单位应急预案的备案，由省、自治区、直辖市人民政府负有安全生产监督管理职责的部门确定。</w:t>
            </w:r>
          </w:p>
          <w:p w14:paraId="38959F09">
            <w:pPr>
              <w:bidi w:val="0"/>
              <w:rPr>
                <w:rFonts w:hint="eastAsia" w:ascii="宋体" w:hAnsi="宋体" w:eastAsia="宋体" w:cs="宋体"/>
              </w:rPr>
            </w:pPr>
            <w:r>
              <w:rPr>
                <w:rFonts w:hint="eastAsia" w:ascii="宋体" w:hAnsi="宋体" w:eastAsia="宋体" w:cs="宋体"/>
              </w:rPr>
              <w:t>油气输送管道运营单位的应急预案，除按照本条第一款、第二款的规定备案外，还应当抄送所经行政区域的县级人民政府应急管理部门。</w:t>
            </w:r>
          </w:p>
          <w:p w14:paraId="03BDE008">
            <w:pPr>
              <w:bidi w:val="0"/>
              <w:rPr>
                <w:rFonts w:hint="eastAsia" w:ascii="宋体" w:hAnsi="宋体" w:eastAsia="宋体" w:cs="宋体"/>
              </w:rPr>
            </w:pPr>
            <w:r>
              <w:rPr>
                <w:rFonts w:hint="eastAsia" w:ascii="宋体" w:hAnsi="宋体" w:eastAsia="宋体" w:cs="宋体"/>
              </w:rPr>
              <w:t>海洋石油开采企业的应急预案，除按照本条第一款、第二款的规定备案外，还应当抄送所经行政区域的县级人民政府应急管理部门和海洋石油安全监管机构。</w:t>
            </w:r>
          </w:p>
          <w:p w14:paraId="3DA8DCD8">
            <w:pPr>
              <w:bidi w:val="0"/>
              <w:rPr>
                <w:rFonts w:hint="eastAsia" w:ascii="宋体" w:hAnsi="宋体" w:eastAsia="宋体" w:cs="宋体"/>
              </w:rPr>
            </w:pPr>
            <w:r>
              <w:rPr>
                <w:rFonts w:hint="eastAsia" w:ascii="宋体" w:hAnsi="宋体" w:eastAsia="宋体" w:cs="宋体"/>
              </w:rPr>
              <w:t>煤矿企业的应急预案除按照本条第一款、第二款的规定备案外，还应当抄送所在地的煤矿安全监察机构。</w:t>
            </w:r>
          </w:p>
        </w:tc>
        <w:tc>
          <w:tcPr>
            <w:tcW w:w="2104" w:type="dxa"/>
            <w:vAlign w:val="center"/>
          </w:tcPr>
          <w:p w14:paraId="36EA3AA5">
            <w:pPr>
              <w:bidi w:val="0"/>
              <w:jc w:val="center"/>
              <w:rPr>
                <w:rFonts w:hint="eastAsia" w:ascii="宋体" w:hAnsi="宋体" w:eastAsia="宋体" w:cs="宋体"/>
              </w:rPr>
            </w:pPr>
            <w:r>
              <w:rPr>
                <w:rFonts w:hint="eastAsia" w:ascii="宋体" w:hAnsi="宋体" w:eastAsia="宋体" w:cs="宋体"/>
              </w:rPr>
              <w:t>《生产安全事故应急预案管理办法》（中华人民共和国应急管理部令第2号，2019年9月1日起施行）第二十六条</w:t>
            </w:r>
          </w:p>
        </w:tc>
        <w:tc>
          <w:tcPr>
            <w:tcW w:w="2406" w:type="dxa"/>
            <w:vAlign w:val="center"/>
          </w:tcPr>
          <w:p w14:paraId="40A76E0D">
            <w:pPr>
              <w:bidi w:val="0"/>
              <w:jc w:val="center"/>
              <w:rPr>
                <w:rFonts w:hint="eastAsia" w:ascii="宋体" w:hAnsi="宋体" w:eastAsia="宋体" w:cs="宋体"/>
              </w:rPr>
            </w:pPr>
            <w:r>
              <w:rPr>
                <w:rFonts w:hint="eastAsia" w:ascii="宋体" w:hAnsi="宋体" w:eastAsia="宋体" w:cs="宋体"/>
              </w:rPr>
              <w:t>已取得应急管理部门出具的备案登记表。</w:t>
            </w:r>
          </w:p>
        </w:tc>
        <w:tc>
          <w:tcPr>
            <w:tcW w:w="792" w:type="dxa"/>
            <w:vAlign w:val="center"/>
          </w:tcPr>
          <w:p w14:paraId="62EF25A1">
            <w:pPr>
              <w:bidi w:val="0"/>
              <w:jc w:val="center"/>
              <w:rPr>
                <w:rFonts w:hint="eastAsia" w:ascii="宋体" w:hAnsi="宋体" w:eastAsia="宋体" w:cs="宋体"/>
              </w:rPr>
            </w:pPr>
            <w:r>
              <w:rPr>
                <w:rFonts w:hint="eastAsia" w:ascii="宋体" w:hAnsi="宋体" w:eastAsia="宋体" w:cs="宋体"/>
              </w:rPr>
              <w:t>符合</w:t>
            </w:r>
          </w:p>
        </w:tc>
      </w:tr>
      <w:tr w14:paraId="4D684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7" w:hRule="atLeast"/>
          <w:jc w:val="center"/>
        </w:trPr>
        <w:tc>
          <w:tcPr>
            <w:tcW w:w="727" w:type="dxa"/>
            <w:vAlign w:val="center"/>
          </w:tcPr>
          <w:p w14:paraId="44B4D6A6">
            <w:pPr>
              <w:bidi w:val="0"/>
              <w:jc w:val="center"/>
              <w:rPr>
                <w:rFonts w:hint="eastAsia" w:ascii="宋体" w:hAnsi="宋体" w:eastAsia="宋体" w:cs="宋体"/>
                <w:lang w:val="en-US" w:eastAsia="zh-CN"/>
              </w:rPr>
            </w:pPr>
            <w:r>
              <w:rPr>
                <w:rFonts w:hint="eastAsia" w:ascii="宋体" w:hAnsi="宋体" w:eastAsia="宋体" w:cs="宋体"/>
                <w:lang w:val="en-US" w:eastAsia="zh-CN"/>
              </w:rPr>
              <w:t>21</w:t>
            </w:r>
          </w:p>
        </w:tc>
        <w:tc>
          <w:tcPr>
            <w:tcW w:w="3375" w:type="dxa"/>
            <w:vAlign w:val="center"/>
          </w:tcPr>
          <w:p w14:paraId="1F395E5A">
            <w:pPr>
              <w:bidi w:val="0"/>
              <w:rPr>
                <w:rFonts w:hint="eastAsia" w:ascii="宋体" w:hAnsi="宋体" w:eastAsia="宋体" w:cs="宋体"/>
              </w:rPr>
            </w:pPr>
            <w:r>
              <w:rPr>
                <w:rFonts w:hint="eastAsia" w:ascii="宋体" w:hAnsi="宋体" w:eastAsia="宋体" w:cs="宋体"/>
              </w:rPr>
              <w:t>受理备案登记的负有安全生产监督管理职责的部门应当在5个工作日内对应急预案材料进行核对，材料齐全的，应当予以备案并出具应急预案备案登记表；材料不齐全的，不予备案并一次性告知需要补齐的材料。逾期不予备案又不说明理由的，视为已经备案。</w:t>
            </w:r>
          </w:p>
          <w:p w14:paraId="25DC02EE">
            <w:pPr>
              <w:bidi w:val="0"/>
              <w:rPr>
                <w:rFonts w:hint="eastAsia" w:ascii="宋体" w:hAnsi="宋体" w:eastAsia="宋体" w:cs="宋体"/>
              </w:rPr>
            </w:pPr>
            <w:r>
              <w:rPr>
                <w:rFonts w:hint="eastAsia" w:ascii="宋体" w:hAnsi="宋体" w:eastAsia="宋体" w:cs="宋体"/>
              </w:rPr>
              <w:t>对于实行安全生产许可的生产经营单位，已经进行应急预案备案的，在申请安全生产许可证时，可以不提供相应的应急预案，仅提供应急预案备案登记表。</w:t>
            </w:r>
          </w:p>
        </w:tc>
        <w:tc>
          <w:tcPr>
            <w:tcW w:w="2104" w:type="dxa"/>
            <w:vAlign w:val="center"/>
          </w:tcPr>
          <w:p w14:paraId="14DC3DEE">
            <w:pPr>
              <w:bidi w:val="0"/>
              <w:jc w:val="center"/>
              <w:rPr>
                <w:rFonts w:hint="eastAsia" w:ascii="宋体" w:hAnsi="宋体" w:eastAsia="宋体" w:cs="宋体"/>
              </w:rPr>
            </w:pPr>
            <w:r>
              <w:rPr>
                <w:rFonts w:hint="eastAsia" w:ascii="宋体" w:hAnsi="宋体" w:eastAsia="宋体" w:cs="宋体"/>
              </w:rPr>
              <w:t>《生产安全事故应急预案管理办法》（中华人民共和国应急管理部令第2号，2019年9月1日起施行）第二十八条</w:t>
            </w:r>
          </w:p>
        </w:tc>
        <w:tc>
          <w:tcPr>
            <w:tcW w:w="2406" w:type="dxa"/>
            <w:vAlign w:val="center"/>
          </w:tcPr>
          <w:p w14:paraId="360BEF0E">
            <w:pPr>
              <w:bidi w:val="0"/>
              <w:jc w:val="center"/>
              <w:rPr>
                <w:rFonts w:hint="eastAsia" w:ascii="宋体" w:hAnsi="宋体" w:eastAsia="宋体" w:cs="宋体"/>
              </w:rPr>
            </w:pPr>
            <w:r>
              <w:rPr>
                <w:rFonts w:hint="eastAsia" w:ascii="宋体" w:hAnsi="宋体" w:eastAsia="宋体" w:cs="宋体"/>
              </w:rPr>
              <w:t>已取得应急管理部门出具的备案登记表。</w:t>
            </w:r>
          </w:p>
        </w:tc>
        <w:tc>
          <w:tcPr>
            <w:tcW w:w="792" w:type="dxa"/>
            <w:vAlign w:val="center"/>
          </w:tcPr>
          <w:p w14:paraId="702D40FE">
            <w:pPr>
              <w:bidi w:val="0"/>
              <w:jc w:val="center"/>
              <w:rPr>
                <w:rFonts w:hint="eastAsia" w:ascii="宋体" w:hAnsi="宋体" w:eastAsia="宋体" w:cs="宋体"/>
              </w:rPr>
            </w:pPr>
            <w:r>
              <w:rPr>
                <w:rFonts w:hint="eastAsia" w:ascii="宋体" w:hAnsi="宋体" w:eastAsia="宋体" w:cs="宋体"/>
              </w:rPr>
              <w:t>符合</w:t>
            </w:r>
          </w:p>
        </w:tc>
      </w:tr>
    </w:tbl>
    <w:p w14:paraId="6762C4B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由以上分析评价可知，该加油站生产安全应急预案已办理备案登记手续，该加油站安全管理均符合《中华人民共和国安全生产法》《国务院关于进一步加强企业安全生产工作的通知》《生产经营单位生产安全事故应急预案编制导则》等相关法律、法规的要求；加油站已为从业人员购买保险。</w:t>
      </w:r>
    </w:p>
    <w:p w14:paraId="54C40A08">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78" w:name="_Toc25133"/>
      <w:bookmarkStart w:id="479" w:name="_Toc1614"/>
      <w:bookmarkStart w:id="480" w:name="_Toc19077"/>
      <w:bookmarkStart w:id="481" w:name="_Toc12353"/>
      <w:r>
        <w:rPr>
          <w:rFonts w:hint="eastAsia" w:ascii="宋体" w:hAnsi="宋体" w:eastAsia="宋体" w:cs="宋体"/>
          <w:b/>
          <w:color w:val="000000" w:themeColor="text1"/>
          <w:sz w:val="30"/>
          <w:szCs w:val="30"/>
          <w:lang w:val="en-US" w:eastAsia="zh-CN"/>
          <w14:textFill>
            <w14:solidFill>
              <w14:schemeClr w14:val="tx1"/>
            </w14:solidFill>
          </w14:textFill>
        </w:rPr>
        <w:t>7.4.2单元小节</w:t>
      </w:r>
      <w:bookmarkEnd w:id="478"/>
      <w:bookmarkEnd w:id="479"/>
      <w:bookmarkEnd w:id="480"/>
      <w:bookmarkEnd w:id="481"/>
    </w:p>
    <w:p w14:paraId="0E69451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通过对该加油站安全管理制度、安全管理组织、事故应急救援管理进行</w:t>
      </w:r>
    </w:p>
    <w:p w14:paraId="491082AF">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逐项检查，评价认为：</w:t>
      </w:r>
    </w:p>
    <w:p w14:paraId="47B95C2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1.该加油站建立了各级人员安全责任制，制定了安全管理制度及安全操作规程，符合涵盖了加油站日常安全管理的各个岗位；</w:t>
      </w:r>
    </w:p>
    <w:p w14:paraId="5B84B2C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2.该加油站成立了安全管理组织机构，任命了安全员，能够满足加油站</w:t>
      </w:r>
    </w:p>
    <w:p w14:paraId="0440E6C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的安全运行的要求；</w:t>
      </w:r>
    </w:p>
    <w:p w14:paraId="5E5184B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3.加油站主要负责人和安全员经过安全培训，取得了安全生产知识和管理能力考核合格证，从业人员经过内部安全培训后上岗，从业人员符合加油站经营危险化学品的要求；</w:t>
      </w:r>
    </w:p>
    <w:p w14:paraId="1F349C9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4.加油站已按规定编制了《事故应急救援预案》，建立了事故应急救援</w:t>
      </w:r>
    </w:p>
    <w:p w14:paraId="747661AA">
      <w:pPr>
        <w:keepNext w:val="0"/>
        <w:keepLines w:val="0"/>
        <w:pageBreakBefore w:val="0"/>
        <w:widowControl w:val="0"/>
        <w:tabs>
          <w:tab w:val="left" w:pos="1006"/>
        </w:tabs>
        <w:kinsoku/>
        <w:wordWrap/>
        <w:overflowPunct/>
        <w:topLinePunct w:val="0"/>
        <w:autoSpaceDE/>
        <w:autoSpaceDN/>
        <w:bidi w:val="0"/>
        <w:adjustRightInd/>
        <w:snapToGrid/>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队伍，配备有救援器材，应急预案的内容符合《生产经营单位生产安全事故应急预案编制导则》（GB/T29639-2020）的要求，配备的救援器材符合满足加油站应急救援的需要。</w:t>
      </w:r>
    </w:p>
    <w:p w14:paraId="3660BA2F">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482" w:name="_Toc17795"/>
      <w:bookmarkStart w:id="483" w:name="_Toc2248"/>
      <w:bookmarkStart w:id="484" w:name="_Toc2824"/>
      <w:bookmarkStart w:id="485" w:name="_Toc20765"/>
      <w:r>
        <w:rPr>
          <w:rFonts w:hint="eastAsia" w:ascii="宋体" w:hAnsi="宋体" w:eastAsia="宋体" w:cs="宋体"/>
          <w:b/>
          <w:smallCaps/>
          <w:color w:val="auto"/>
          <w:kern w:val="0"/>
          <w:szCs w:val="20"/>
          <w:lang w:val="en-US" w:eastAsia="zh-CN"/>
        </w:rPr>
        <w:t>7.5安全经营条件单元</w:t>
      </w:r>
      <w:bookmarkEnd w:id="482"/>
      <w:bookmarkEnd w:id="483"/>
      <w:bookmarkEnd w:id="484"/>
      <w:bookmarkEnd w:id="485"/>
    </w:p>
    <w:p w14:paraId="35D7E567">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86" w:name="_Toc2238"/>
      <w:bookmarkStart w:id="487" w:name="_Toc11822"/>
      <w:bookmarkStart w:id="488" w:name="_Toc28585"/>
      <w:bookmarkStart w:id="489" w:name="_Toc14955"/>
      <w:r>
        <w:rPr>
          <w:rFonts w:hint="eastAsia" w:ascii="宋体" w:hAnsi="宋体" w:eastAsia="宋体" w:cs="宋体"/>
          <w:b/>
          <w:color w:val="000000" w:themeColor="text1"/>
          <w:sz w:val="30"/>
          <w:szCs w:val="30"/>
          <w:lang w:val="en-US" w:eastAsia="zh-CN"/>
          <w14:textFill>
            <w14:solidFill>
              <w14:schemeClr w14:val="tx1"/>
            </w14:solidFill>
          </w14:textFill>
        </w:rPr>
        <w:t>7.5.1重大隐患判定检查表</w:t>
      </w:r>
      <w:bookmarkEnd w:id="486"/>
      <w:bookmarkEnd w:id="487"/>
      <w:bookmarkEnd w:id="488"/>
      <w:bookmarkEnd w:id="489"/>
    </w:p>
    <w:p w14:paraId="227FA13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根据《化工和危险化学品生产经营单位重大生产安全事故隐患判定标准（试行）》（安监总管三〔2017〕121号）的相关条款，列表检查该加油站是否存在重大生产安全事故隐患，如下表：</w:t>
      </w:r>
    </w:p>
    <w:p w14:paraId="21A92BC4">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表7-6重大生产安全事故隐患判定检查表</w:t>
      </w:r>
    </w:p>
    <w:tbl>
      <w:tblPr>
        <w:tblStyle w:val="41"/>
        <w:tblW w:w="94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4"/>
        <w:gridCol w:w="3177"/>
        <w:gridCol w:w="1163"/>
      </w:tblGrid>
      <w:tr w14:paraId="2E843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5064" w:type="dxa"/>
            <w:vAlign w:val="center"/>
          </w:tcPr>
          <w:p w14:paraId="5596957F">
            <w:pPr>
              <w:bidi w:val="0"/>
              <w:jc w:val="center"/>
              <w:rPr>
                <w:rFonts w:hint="eastAsia" w:ascii="宋体" w:hAnsi="宋体" w:eastAsia="宋体" w:cs="宋体"/>
                <w:b/>
                <w:bCs/>
              </w:rPr>
            </w:pPr>
            <w:r>
              <w:rPr>
                <w:rFonts w:hint="eastAsia" w:ascii="宋体" w:hAnsi="宋体" w:eastAsia="宋体" w:cs="宋体"/>
                <w:b/>
                <w:bCs/>
              </w:rPr>
              <w:t>条款内容</w:t>
            </w:r>
          </w:p>
        </w:tc>
        <w:tc>
          <w:tcPr>
            <w:tcW w:w="3177" w:type="dxa"/>
            <w:vAlign w:val="center"/>
          </w:tcPr>
          <w:p w14:paraId="4C3048A9">
            <w:pPr>
              <w:bidi w:val="0"/>
              <w:jc w:val="center"/>
              <w:rPr>
                <w:rFonts w:hint="eastAsia" w:ascii="宋体" w:hAnsi="宋体" w:eastAsia="宋体" w:cs="宋体"/>
                <w:b/>
                <w:bCs/>
              </w:rPr>
            </w:pPr>
            <w:r>
              <w:rPr>
                <w:rFonts w:hint="eastAsia" w:ascii="宋体" w:hAnsi="宋体" w:eastAsia="宋体" w:cs="宋体"/>
                <w:b/>
                <w:bCs/>
              </w:rPr>
              <w:t>检查情况</w:t>
            </w:r>
          </w:p>
        </w:tc>
        <w:tc>
          <w:tcPr>
            <w:tcW w:w="1163" w:type="dxa"/>
            <w:vAlign w:val="center"/>
          </w:tcPr>
          <w:p w14:paraId="3223C1B2">
            <w:pPr>
              <w:bidi w:val="0"/>
              <w:jc w:val="center"/>
              <w:rPr>
                <w:rFonts w:hint="eastAsia" w:ascii="宋体" w:hAnsi="宋体" w:eastAsia="宋体" w:cs="宋体"/>
                <w:b/>
                <w:bCs/>
              </w:rPr>
            </w:pPr>
            <w:r>
              <w:rPr>
                <w:rFonts w:hint="eastAsia" w:ascii="宋体" w:hAnsi="宋体" w:eastAsia="宋体" w:cs="宋体"/>
                <w:b/>
                <w:bCs/>
              </w:rPr>
              <w:t>是否构成</w:t>
            </w:r>
          </w:p>
          <w:p w14:paraId="0FB98B4F">
            <w:pPr>
              <w:bidi w:val="0"/>
              <w:jc w:val="center"/>
              <w:rPr>
                <w:rFonts w:hint="eastAsia" w:ascii="宋体" w:hAnsi="宋体" w:eastAsia="宋体" w:cs="宋体"/>
                <w:b/>
                <w:bCs/>
              </w:rPr>
            </w:pPr>
            <w:r>
              <w:rPr>
                <w:rFonts w:hint="eastAsia" w:ascii="宋体" w:hAnsi="宋体" w:eastAsia="宋体" w:cs="宋体"/>
                <w:b/>
                <w:bCs/>
              </w:rPr>
              <w:t>重大隐患</w:t>
            </w:r>
          </w:p>
        </w:tc>
      </w:tr>
      <w:tr w14:paraId="6FB22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28F10C50">
            <w:pPr>
              <w:bidi w:val="0"/>
              <w:jc w:val="left"/>
              <w:rPr>
                <w:rFonts w:hint="eastAsia" w:ascii="宋体" w:hAnsi="宋体" w:eastAsia="宋体" w:cs="宋体"/>
              </w:rPr>
            </w:pPr>
            <w:r>
              <w:rPr>
                <w:rFonts w:hint="eastAsia" w:ascii="宋体" w:hAnsi="宋体" w:eastAsia="宋体" w:cs="宋体"/>
              </w:rPr>
              <w:t>一、危险化学品生产、经营单位主要负责人和安全生产管理人员未依法经考核合格。</w:t>
            </w:r>
          </w:p>
        </w:tc>
        <w:tc>
          <w:tcPr>
            <w:tcW w:w="3177" w:type="dxa"/>
            <w:vAlign w:val="center"/>
          </w:tcPr>
          <w:p w14:paraId="2A0B4806">
            <w:pPr>
              <w:bidi w:val="0"/>
              <w:jc w:val="center"/>
              <w:rPr>
                <w:rFonts w:hint="eastAsia" w:ascii="宋体" w:hAnsi="宋体" w:eastAsia="宋体" w:cs="宋体"/>
              </w:rPr>
            </w:pPr>
            <w:r>
              <w:rPr>
                <w:rFonts w:hint="eastAsia" w:ascii="宋体" w:hAnsi="宋体" w:eastAsia="宋体" w:cs="宋体"/>
              </w:rPr>
              <w:t>主要负责人、安全员已取证</w:t>
            </w:r>
          </w:p>
        </w:tc>
        <w:tc>
          <w:tcPr>
            <w:tcW w:w="1163" w:type="dxa"/>
            <w:vAlign w:val="center"/>
          </w:tcPr>
          <w:p w14:paraId="48E19A0F">
            <w:pPr>
              <w:bidi w:val="0"/>
              <w:jc w:val="center"/>
              <w:rPr>
                <w:rFonts w:hint="eastAsia" w:ascii="宋体" w:hAnsi="宋体" w:eastAsia="宋体" w:cs="宋体"/>
              </w:rPr>
            </w:pPr>
            <w:r>
              <w:rPr>
                <w:rFonts w:hint="eastAsia" w:ascii="宋体" w:hAnsi="宋体" w:eastAsia="宋体" w:cs="宋体"/>
              </w:rPr>
              <w:t>不构成</w:t>
            </w:r>
          </w:p>
        </w:tc>
      </w:tr>
      <w:tr w14:paraId="0B44E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064" w:type="dxa"/>
            <w:vAlign w:val="center"/>
          </w:tcPr>
          <w:p w14:paraId="7ABF2A30">
            <w:pPr>
              <w:bidi w:val="0"/>
              <w:jc w:val="left"/>
              <w:rPr>
                <w:rFonts w:hint="eastAsia" w:ascii="宋体" w:hAnsi="宋体" w:eastAsia="宋体" w:cs="宋体"/>
              </w:rPr>
            </w:pPr>
            <w:r>
              <w:rPr>
                <w:rFonts w:hint="eastAsia" w:ascii="宋体" w:hAnsi="宋体" w:eastAsia="宋体" w:cs="宋体"/>
              </w:rPr>
              <w:t>二、特种作业人员未持证上岗。</w:t>
            </w:r>
          </w:p>
        </w:tc>
        <w:tc>
          <w:tcPr>
            <w:tcW w:w="3177" w:type="dxa"/>
            <w:vAlign w:val="center"/>
          </w:tcPr>
          <w:p w14:paraId="7AA41AF1">
            <w:pPr>
              <w:bidi w:val="0"/>
              <w:jc w:val="center"/>
              <w:rPr>
                <w:rFonts w:hint="eastAsia" w:ascii="宋体" w:hAnsi="宋体" w:eastAsia="宋体" w:cs="宋体"/>
                <w:lang w:val="en-US"/>
              </w:rPr>
            </w:pPr>
            <w:r>
              <w:rPr>
                <w:rFonts w:hint="eastAsia" w:ascii="宋体" w:hAnsi="宋体" w:eastAsia="宋体" w:cs="宋体"/>
                <w:lang w:val="en-US" w:eastAsia="zh-CN"/>
              </w:rPr>
              <w:t>涉及特种作业时，临时聘请具备相关资质的人员进行，本站不配备特种作业人员。</w:t>
            </w:r>
          </w:p>
        </w:tc>
        <w:tc>
          <w:tcPr>
            <w:tcW w:w="1163" w:type="dxa"/>
            <w:vAlign w:val="center"/>
          </w:tcPr>
          <w:p w14:paraId="1F60FD4E">
            <w:pPr>
              <w:bidi w:val="0"/>
              <w:jc w:val="center"/>
              <w:rPr>
                <w:rFonts w:hint="eastAsia" w:ascii="宋体" w:hAnsi="宋体" w:eastAsia="宋体" w:cs="宋体"/>
              </w:rPr>
            </w:pPr>
            <w:r>
              <w:rPr>
                <w:rFonts w:hint="eastAsia" w:ascii="宋体" w:hAnsi="宋体" w:eastAsia="宋体" w:cs="宋体"/>
              </w:rPr>
              <w:t>不涉及</w:t>
            </w:r>
          </w:p>
        </w:tc>
      </w:tr>
      <w:tr w14:paraId="5BA7E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jc w:val="center"/>
        </w:trPr>
        <w:tc>
          <w:tcPr>
            <w:tcW w:w="5064" w:type="dxa"/>
            <w:vAlign w:val="center"/>
          </w:tcPr>
          <w:p w14:paraId="16071AB4">
            <w:pPr>
              <w:bidi w:val="0"/>
              <w:jc w:val="left"/>
              <w:rPr>
                <w:rFonts w:hint="eastAsia" w:ascii="宋体" w:hAnsi="宋体" w:eastAsia="宋体" w:cs="宋体"/>
              </w:rPr>
            </w:pPr>
            <w:r>
              <w:rPr>
                <w:rFonts w:hint="eastAsia" w:ascii="宋体" w:hAnsi="宋体" w:eastAsia="宋体" w:cs="宋体"/>
              </w:rPr>
              <w:t>三、涉及“两重点一重大”的生产装置、储存设施外部安全防护距离不符合国家标准要求。</w:t>
            </w:r>
          </w:p>
        </w:tc>
        <w:tc>
          <w:tcPr>
            <w:tcW w:w="3177" w:type="dxa"/>
            <w:vAlign w:val="center"/>
          </w:tcPr>
          <w:p w14:paraId="16FEF1B9">
            <w:pPr>
              <w:bidi w:val="0"/>
              <w:jc w:val="center"/>
              <w:rPr>
                <w:rFonts w:hint="eastAsia" w:ascii="宋体" w:hAnsi="宋体" w:eastAsia="宋体" w:cs="宋体"/>
              </w:rPr>
            </w:pPr>
            <w:r>
              <w:rPr>
                <w:rFonts w:hint="eastAsia" w:ascii="宋体" w:hAnsi="宋体" w:eastAsia="宋体" w:cs="宋体"/>
              </w:rPr>
              <w:t>汽油属于重点监管危险化品，安</w:t>
            </w:r>
          </w:p>
          <w:p w14:paraId="677B7598">
            <w:pPr>
              <w:bidi w:val="0"/>
              <w:jc w:val="center"/>
              <w:rPr>
                <w:rFonts w:hint="eastAsia" w:ascii="宋体" w:hAnsi="宋体" w:eastAsia="宋体" w:cs="宋体"/>
              </w:rPr>
            </w:pPr>
            <w:r>
              <w:rPr>
                <w:rFonts w:hint="eastAsia" w:ascii="宋体" w:hAnsi="宋体" w:eastAsia="宋体" w:cs="宋体"/>
              </w:rPr>
              <w:t>全距离符合要求；</w:t>
            </w:r>
          </w:p>
        </w:tc>
        <w:tc>
          <w:tcPr>
            <w:tcW w:w="1163" w:type="dxa"/>
            <w:vAlign w:val="center"/>
          </w:tcPr>
          <w:p w14:paraId="686E8DD1">
            <w:pPr>
              <w:bidi w:val="0"/>
              <w:jc w:val="center"/>
              <w:rPr>
                <w:rFonts w:hint="eastAsia" w:ascii="宋体" w:hAnsi="宋体" w:eastAsia="宋体" w:cs="宋体"/>
              </w:rPr>
            </w:pPr>
            <w:r>
              <w:rPr>
                <w:rFonts w:hint="eastAsia" w:ascii="宋体" w:hAnsi="宋体" w:eastAsia="宋体" w:cs="宋体"/>
              </w:rPr>
              <w:t>不构成</w:t>
            </w:r>
          </w:p>
        </w:tc>
      </w:tr>
      <w:tr w14:paraId="03AAD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jc w:val="center"/>
        </w:trPr>
        <w:tc>
          <w:tcPr>
            <w:tcW w:w="5064" w:type="dxa"/>
            <w:vAlign w:val="center"/>
          </w:tcPr>
          <w:p w14:paraId="7B2B204E">
            <w:pPr>
              <w:bidi w:val="0"/>
              <w:jc w:val="left"/>
              <w:rPr>
                <w:rFonts w:hint="eastAsia" w:ascii="宋体" w:hAnsi="宋体" w:eastAsia="宋体" w:cs="宋体"/>
              </w:rPr>
            </w:pPr>
            <w:r>
              <w:rPr>
                <w:rFonts w:hint="eastAsia" w:ascii="宋体" w:hAnsi="宋体" w:eastAsia="宋体" w:cs="宋体"/>
              </w:rPr>
              <w:t>四、涉及重点监管危险化工工艺的装置未实现自动化控制，系统未实现紧急停车功能，装备的自动化控制系统、紧急停车系统未投入使用。</w:t>
            </w:r>
          </w:p>
        </w:tc>
        <w:tc>
          <w:tcPr>
            <w:tcW w:w="3177" w:type="dxa"/>
            <w:vAlign w:val="center"/>
          </w:tcPr>
          <w:p w14:paraId="6631972E">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0BC2E448">
            <w:pPr>
              <w:bidi w:val="0"/>
              <w:jc w:val="center"/>
              <w:rPr>
                <w:rFonts w:hint="eastAsia" w:ascii="宋体" w:hAnsi="宋体" w:eastAsia="宋体" w:cs="宋体"/>
              </w:rPr>
            </w:pPr>
            <w:r>
              <w:rPr>
                <w:rFonts w:hint="eastAsia" w:ascii="宋体" w:hAnsi="宋体" w:eastAsia="宋体" w:cs="宋体"/>
              </w:rPr>
              <w:t>不涉及</w:t>
            </w:r>
          </w:p>
        </w:tc>
      </w:tr>
      <w:tr w14:paraId="2BDC4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jc w:val="center"/>
        </w:trPr>
        <w:tc>
          <w:tcPr>
            <w:tcW w:w="5064" w:type="dxa"/>
            <w:vAlign w:val="center"/>
          </w:tcPr>
          <w:p w14:paraId="76DF94D8">
            <w:pPr>
              <w:bidi w:val="0"/>
              <w:jc w:val="left"/>
              <w:rPr>
                <w:rFonts w:hint="eastAsia" w:ascii="宋体" w:hAnsi="宋体" w:eastAsia="宋体" w:cs="宋体"/>
              </w:rPr>
            </w:pPr>
            <w:r>
              <w:rPr>
                <w:rFonts w:hint="eastAsia" w:ascii="宋体" w:hAnsi="宋体" w:eastAsia="宋体" w:cs="宋体"/>
              </w:rPr>
              <w:t>五、构成一级、三级重大危险源的危险化学品罐区未实现紧急切断功能；涉及毒性气体、液化气体、剧毒液体的一级、三级重大危险源的危险化学品罐区未配备独立的安全仪表系统。</w:t>
            </w:r>
          </w:p>
        </w:tc>
        <w:tc>
          <w:tcPr>
            <w:tcW w:w="3177" w:type="dxa"/>
            <w:vAlign w:val="center"/>
          </w:tcPr>
          <w:p w14:paraId="6040D6E2">
            <w:pPr>
              <w:bidi w:val="0"/>
              <w:jc w:val="both"/>
              <w:rPr>
                <w:rFonts w:hint="eastAsia" w:ascii="宋体" w:hAnsi="宋体" w:eastAsia="宋体" w:cs="宋体"/>
              </w:rPr>
            </w:pPr>
          </w:p>
          <w:p w14:paraId="59A9FFD2">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573F780E">
            <w:pPr>
              <w:bidi w:val="0"/>
              <w:jc w:val="center"/>
              <w:rPr>
                <w:rFonts w:hint="eastAsia" w:ascii="宋体" w:hAnsi="宋体" w:eastAsia="宋体" w:cs="宋体"/>
              </w:rPr>
            </w:pPr>
          </w:p>
          <w:p w14:paraId="182E5E5E">
            <w:pPr>
              <w:bidi w:val="0"/>
              <w:jc w:val="center"/>
              <w:rPr>
                <w:rFonts w:hint="eastAsia" w:ascii="宋体" w:hAnsi="宋体" w:eastAsia="宋体" w:cs="宋体"/>
              </w:rPr>
            </w:pPr>
            <w:r>
              <w:rPr>
                <w:rFonts w:hint="eastAsia" w:ascii="宋体" w:hAnsi="宋体" w:eastAsia="宋体" w:cs="宋体"/>
              </w:rPr>
              <w:t>不涉及</w:t>
            </w:r>
          </w:p>
        </w:tc>
      </w:tr>
      <w:tr w14:paraId="299DB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5064" w:type="dxa"/>
            <w:vAlign w:val="center"/>
          </w:tcPr>
          <w:p w14:paraId="6AE9BF87">
            <w:pPr>
              <w:bidi w:val="0"/>
              <w:jc w:val="left"/>
              <w:rPr>
                <w:rFonts w:hint="eastAsia" w:ascii="宋体" w:hAnsi="宋体" w:eastAsia="宋体" w:cs="宋体"/>
              </w:rPr>
            </w:pPr>
            <w:r>
              <w:rPr>
                <w:rFonts w:hint="eastAsia" w:ascii="宋体" w:hAnsi="宋体" w:eastAsia="宋体" w:cs="宋体"/>
              </w:rPr>
              <w:t>六、全压力式液化烃储罐未按国家标准设置注水措施。</w:t>
            </w:r>
          </w:p>
        </w:tc>
        <w:tc>
          <w:tcPr>
            <w:tcW w:w="3177" w:type="dxa"/>
            <w:vAlign w:val="center"/>
          </w:tcPr>
          <w:p w14:paraId="6CBEEEC3">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07CA8BA0">
            <w:pPr>
              <w:bidi w:val="0"/>
              <w:jc w:val="center"/>
              <w:rPr>
                <w:rFonts w:hint="eastAsia" w:ascii="宋体" w:hAnsi="宋体" w:eastAsia="宋体" w:cs="宋体"/>
              </w:rPr>
            </w:pPr>
            <w:r>
              <w:rPr>
                <w:rFonts w:hint="eastAsia" w:ascii="宋体" w:hAnsi="宋体" w:eastAsia="宋体" w:cs="宋体"/>
              </w:rPr>
              <w:t>不涉及</w:t>
            </w:r>
          </w:p>
        </w:tc>
      </w:tr>
      <w:tr w14:paraId="54495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491AB9A5">
            <w:pPr>
              <w:bidi w:val="0"/>
              <w:jc w:val="left"/>
              <w:rPr>
                <w:rFonts w:hint="eastAsia" w:ascii="宋体" w:hAnsi="宋体" w:eastAsia="宋体" w:cs="宋体"/>
              </w:rPr>
            </w:pPr>
            <w:r>
              <w:rPr>
                <w:rFonts w:hint="eastAsia" w:ascii="宋体" w:hAnsi="宋体" w:eastAsia="宋体" w:cs="宋体"/>
              </w:rPr>
              <w:t>七、液化烃、液氨、液氯等易燃易爆、有毒有害液化气体的充装未使用万向管道充装系统。</w:t>
            </w:r>
          </w:p>
        </w:tc>
        <w:tc>
          <w:tcPr>
            <w:tcW w:w="3177" w:type="dxa"/>
            <w:vAlign w:val="center"/>
          </w:tcPr>
          <w:p w14:paraId="0757EFF2">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4AD10500">
            <w:pPr>
              <w:bidi w:val="0"/>
              <w:jc w:val="center"/>
              <w:rPr>
                <w:rFonts w:hint="eastAsia" w:ascii="宋体" w:hAnsi="宋体" w:eastAsia="宋体" w:cs="宋体"/>
              </w:rPr>
            </w:pPr>
            <w:r>
              <w:rPr>
                <w:rFonts w:hint="eastAsia" w:ascii="宋体" w:hAnsi="宋体" w:eastAsia="宋体" w:cs="宋体"/>
              </w:rPr>
              <w:t>不涉及</w:t>
            </w:r>
          </w:p>
        </w:tc>
      </w:tr>
      <w:tr w14:paraId="7635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5A0535B5">
            <w:pPr>
              <w:bidi w:val="0"/>
              <w:jc w:val="left"/>
              <w:rPr>
                <w:rFonts w:hint="eastAsia" w:ascii="宋体" w:hAnsi="宋体" w:eastAsia="宋体" w:cs="宋体"/>
              </w:rPr>
            </w:pPr>
            <w:r>
              <w:rPr>
                <w:rFonts w:hint="eastAsia" w:ascii="宋体" w:hAnsi="宋体" w:eastAsia="宋体" w:cs="宋体"/>
              </w:rPr>
              <w:t>八、光气、氯气等剧毒气体及硫化氢气体管道穿越除厂区（包括化工园区、工业园区）外的公共区域。</w:t>
            </w:r>
          </w:p>
        </w:tc>
        <w:tc>
          <w:tcPr>
            <w:tcW w:w="3177" w:type="dxa"/>
            <w:vAlign w:val="center"/>
          </w:tcPr>
          <w:p w14:paraId="18324E07">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4C3BF101">
            <w:pPr>
              <w:bidi w:val="0"/>
              <w:jc w:val="center"/>
              <w:rPr>
                <w:rFonts w:hint="eastAsia" w:ascii="宋体" w:hAnsi="宋体" w:eastAsia="宋体" w:cs="宋体"/>
              </w:rPr>
            </w:pPr>
            <w:r>
              <w:rPr>
                <w:rFonts w:hint="eastAsia" w:ascii="宋体" w:hAnsi="宋体" w:eastAsia="宋体" w:cs="宋体"/>
              </w:rPr>
              <w:t>不涉及</w:t>
            </w:r>
          </w:p>
        </w:tc>
      </w:tr>
      <w:tr w14:paraId="403CF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66EDF3DF">
            <w:pPr>
              <w:bidi w:val="0"/>
              <w:jc w:val="left"/>
              <w:rPr>
                <w:rFonts w:hint="eastAsia" w:ascii="宋体" w:hAnsi="宋体" w:eastAsia="宋体" w:cs="宋体"/>
              </w:rPr>
            </w:pPr>
            <w:r>
              <w:rPr>
                <w:rFonts w:hint="eastAsia" w:ascii="宋体" w:hAnsi="宋体" w:eastAsia="宋体" w:cs="宋体"/>
              </w:rPr>
              <w:t>九、地区架空电力线路穿越生产区且不符合国家标准要求</w:t>
            </w:r>
          </w:p>
        </w:tc>
        <w:tc>
          <w:tcPr>
            <w:tcW w:w="3177" w:type="dxa"/>
            <w:vAlign w:val="center"/>
          </w:tcPr>
          <w:p w14:paraId="715725CE">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6E314A68">
            <w:pPr>
              <w:bidi w:val="0"/>
              <w:jc w:val="center"/>
              <w:rPr>
                <w:rFonts w:hint="eastAsia" w:ascii="宋体" w:hAnsi="宋体" w:eastAsia="宋体" w:cs="宋体"/>
              </w:rPr>
            </w:pPr>
            <w:r>
              <w:rPr>
                <w:rFonts w:hint="eastAsia" w:ascii="宋体" w:hAnsi="宋体" w:eastAsia="宋体" w:cs="宋体"/>
              </w:rPr>
              <w:t>不构成</w:t>
            </w:r>
          </w:p>
        </w:tc>
      </w:tr>
      <w:tr w14:paraId="74BE8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5064" w:type="dxa"/>
            <w:vAlign w:val="center"/>
          </w:tcPr>
          <w:p w14:paraId="73BE20BA">
            <w:pPr>
              <w:bidi w:val="0"/>
              <w:jc w:val="left"/>
              <w:rPr>
                <w:rFonts w:hint="eastAsia" w:ascii="宋体" w:hAnsi="宋体" w:eastAsia="宋体" w:cs="宋体"/>
              </w:rPr>
            </w:pPr>
            <w:r>
              <w:rPr>
                <w:rFonts w:hint="eastAsia" w:ascii="宋体" w:hAnsi="宋体" w:eastAsia="宋体" w:cs="宋体"/>
              </w:rPr>
              <w:t>十、在役化工装置未经正规设计且未进行安全设计诊断。</w:t>
            </w:r>
          </w:p>
        </w:tc>
        <w:tc>
          <w:tcPr>
            <w:tcW w:w="3177" w:type="dxa"/>
            <w:vAlign w:val="center"/>
          </w:tcPr>
          <w:p w14:paraId="1095E97C">
            <w:pPr>
              <w:bidi w:val="0"/>
              <w:jc w:val="center"/>
              <w:rPr>
                <w:rFonts w:hint="eastAsia" w:ascii="宋体" w:hAnsi="宋体" w:eastAsia="宋体" w:cs="宋体"/>
              </w:rPr>
            </w:pPr>
            <w:r>
              <w:rPr>
                <w:rFonts w:hint="eastAsia" w:ascii="宋体" w:hAnsi="宋体" w:eastAsia="宋体" w:cs="宋体"/>
              </w:rPr>
              <w:t>经过正规设计</w:t>
            </w:r>
          </w:p>
        </w:tc>
        <w:tc>
          <w:tcPr>
            <w:tcW w:w="1163" w:type="dxa"/>
            <w:vAlign w:val="center"/>
          </w:tcPr>
          <w:p w14:paraId="1AF58300">
            <w:pPr>
              <w:bidi w:val="0"/>
              <w:jc w:val="center"/>
              <w:rPr>
                <w:rFonts w:hint="eastAsia" w:ascii="宋体" w:hAnsi="宋体" w:eastAsia="宋体" w:cs="宋体"/>
              </w:rPr>
            </w:pPr>
            <w:r>
              <w:rPr>
                <w:rFonts w:hint="eastAsia" w:ascii="宋体" w:hAnsi="宋体" w:eastAsia="宋体" w:cs="宋体"/>
              </w:rPr>
              <w:t>不构成</w:t>
            </w:r>
          </w:p>
        </w:tc>
      </w:tr>
      <w:tr w14:paraId="5F44C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5064" w:type="dxa"/>
            <w:vAlign w:val="center"/>
          </w:tcPr>
          <w:p w14:paraId="40102016">
            <w:pPr>
              <w:bidi w:val="0"/>
              <w:jc w:val="left"/>
              <w:rPr>
                <w:rFonts w:hint="eastAsia" w:ascii="宋体" w:hAnsi="宋体" w:eastAsia="宋体" w:cs="宋体"/>
              </w:rPr>
            </w:pPr>
            <w:r>
              <w:rPr>
                <w:rFonts w:hint="eastAsia" w:ascii="宋体" w:hAnsi="宋体" w:eastAsia="宋体" w:cs="宋体"/>
              </w:rPr>
              <w:t>十一、使用淘汰落后安全技术工艺、设备目录列出的工艺、设备。</w:t>
            </w:r>
          </w:p>
        </w:tc>
        <w:tc>
          <w:tcPr>
            <w:tcW w:w="3177" w:type="dxa"/>
            <w:vAlign w:val="center"/>
          </w:tcPr>
          <w:p w14:paraId="668E70D4">
            <w:pPr>
              <w:bidi w:val="0"/>
              <w:jc w:val="center"/>
              <w:rPr>
                <w:rFonts w:hint="eastAsia" w:ascii="宋体" w:hAnsi="宋体" w:eastAsia="宋体" w:cs="宋体"/>
              </w:rPr>
            </w:pPr>
            <w:r>
              <w:rPr>
                <w:rFonts w:hint="eastAsia" w:ascii="宋体" w:hAnsi="宋体" w:eastAsia="宋体" w:cs="宋体"/>
              </w:rPr>
              <w:t>未使用淘汰落后安全技术工艺、</w:t>
            </w:r>
          </w:p>
          <w:p w14:paraId="731EC418">
            <w:pPr>
              <w:bidi w:val="0"/>
              <w:jc w:val="center"/>
              <w:rPr>
                <w:rFonts w:hint="eastAsia" w:ascii="宋体" w:hAnsi="宋体" w:eastAsia="宋体" w:cs="宋体"/>
              </w:rPr>
            </w:pPr>
            <w:r>
              <w:rPr>
                <w:rFonts w:hint="eastAsia" w:ascii="宋体" w:hAnsi="宋体" w:eastAsia="宋体" w:cs="宋体"/>
              </w:rPr>
              <w:t>设备目录列出的工艺、设备。</w:t>
            </w:r>
          </w:p>
        </w:tc>
        <w:tc>
          <w:tcPr>
            <w:tcW w:w="1163" w:type="dxa"/>
            <w:vAlign w:val="center"/>
          </w:tcPr>
          <w:p w14:paraId="54FB4A8D">
            <w:pPr>
              <w:bidi w:val="0"/>
              <w:jc w:val="center"/>
              <w:rPr>
                <w:rFonts w:hint="eastAsia" w:ascii="宋体" w:hAnsi="宋体" w:eastAsia="宋体" w:cs="宋体"/>
              </w:rPr>
            </w:pPr>
            <w:r>
              <w:rPr>
                <w:rFonts w:hint="eastAsia" w:ascii="宋体" w:hAnsi="宋体" w:eastAsia="宋体" w:cs="宋体"/>
              </w:rPr>
              <w:t>不构成</w:t>
            </w:r>
          </w:p>
        </w:tc>
      </w:tr>
      <w:tr w14:paraId="18A3F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jc w:val="center"/>
        </w:trPr>
        <w:tc>
          <w:tcPr>
            <w:tcW w:w="5064" w:type="dxa"/>
            <w:vAlign w:val="center"/>
          </w:tcPr>
          <w:p w14:paraId="5089FE45">
            <w:pPr>
              <w:bidi w:val="0"/>
              <w:jc w:val="left"/>
              <w:rPr>
                <w:rFonts w:hint="eastAsia" w:ascii="宋体" w:hAnsi="宋体" w:eastAsia="宋体" w:cs="宋体"/>
              </w:rPr>
            </w:pPr>
            <w:r>
              <w:rPr>
                <w:rFonts w:hint="eastAsia" w:ascii="宋体" w:hAnsi="宋体" w:eastAsia="宋体" w:cs="宋体"/>
              </w:rPr>
              <w:t>十二、涉及可燃和有毒有害气体泄漏的场所未按国家标准设置检测报警装置，爆炸危险场所未按国家标准安装使用防爆电气设备。</w:t>
            </w:r>
          </w:p>
        </w:tc>
        <w:tc>
          <w:tcPr>
            <w:tcW w:w="3177" w:type="dxa"/>
            <w:vAlign w:val="center"/>
          </w:tcPr>
          <w:p w14:paraId="751342FB">
            <w:pPr>
              <w:bidi w:val="0"/>
              <w:jc w:val="center"/>
              <w:rPr>
                <w:rFonts w:hint="eastAsia" w:ascii="宋体" w:hAnsi="宋体" w:eastAsia="宋体" w:cs="宋体"/>
              </w:rPr>
            </w:pPr>
            <w:r>
              <w:rPr>
                <w:rFonts w:hint="eastAsia" w:ascii="宋体" w:hAnsi="宋体" w:eastAsia="宋体" w:cs="宋体"/>
              </w:rPr>
              <w:t>爆炸危险场所使用防爆电气设备。</w:t>
            </w:r>
          </w:p>
        </w:tc>
        <w:tc>
          <w:tcPr>
            <w:tcW w:w="1163" w:type="dxa"/>
            <w:vAlign w:val="center"/>
          </w:tcPr>
          <w:p w14:paraId="1B081287">
            <w:pPr>
              <w:bidi w:val="0"/>
              <w:jc w:val="center"/>
              <w:rPr>
                <w:rFonts w:hint="eastAsia" w:ascii="宋体" w:hAnsi="宋体" w:eastAsia="宋体" w:cs="宋体"/>
              </w:rPr>
            </w:pPr>
            <w:r>
              <w:rPr>
                <w:rFonts w:hint="eastAsia" w:ascii="宋体" w:hAnsi="宋体" w:eastAsia="宋体" w:cs="宋体"/>
              </w:rPr>
              <w:t>不构成</w:t>
            </w:r>
          </w:p>
        </w:tc>
      </w:tr>
      <w:tr w14:paraId="426A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62717C1F">
            <w:pPr>
              <w:bidi w:val="0"/>
              <w:jc w:val="left"/>
              <w:rPr>
                <w:rFonts w:hint="eastAsia" w:ascii="宋体" w:hAnsi="宋体" w:eastAsia="宋体" w:cs="宋体"/>
              </w:rPr>
            </w:pPr>
            <w:r>
              <w:rPr>
                <w:rFonts w:hint="eastAsia" w:ascii="宋体" w:hAnsi="宋体" w:eastAsia="宋体" w:cs="宋体"/>
              </w:rPr>
              <w:t>十三、控制室或机柜间面向具有火灾、爆炸危险性装置一侧不满足国家标准关于防火防爆的要求。</w:t>
            </w:r>
          </w:p>
        </w:tc>
        <w:tc>
          <w:tcPr>
            <w:tcW w:w="3177" w:type="dxa"/>
            <w:vAlign w:val="center"/>
          </w:tcPr>
          <w:p w14:paraId="1F38ED6F">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4B11EE9C">
            <w:pPr>
              <w:bidi w:val="0"/>
              <w:jc w:val="center"/>
              <w:rPr>
                <w:rFonts w:hint="eastAsia" w:ascii="宋体" w:hAnsi="宋体" w:eastAsia="宋体" w:cs="宋体"/>
              </w:rPr>
            </w:pPr>
            <w:r>
              <w:rPr>
                <w:rFonts w:hint="eastAsia" w:ascii="宋体" w:hAnsi="宋体" w:eastAsia="宋体" w:cs="宋体"/>
              </w:rPr>
              <w:t>不涉及</w:t>
            </w:r>
          </w:p>
        </w:tc>
      </w:tr>
      <w:tr w14:paraId="53E95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5064" w:type="dxa"/>
            <w:vAlign w:val="center"/>
          </w:tcPr>
          <w:p w14:paraId="43B72998">
            <w:pPr>
              <w:bidi w:val="0"/>
              <w:jc w:val="left"/>
              <w:rPr>
                <w:rFonts w:hint="eastAsia" w:ascii="宋体" w:hAnsi="宋体" w:eastAsia="宋体" w:cs="宋体"/>
              </w:rPr>
            </w:pPr>
            <w:r>
              <w:rPr>
                <w:rFonts w:hint="eastAsia" w:ascii="宋体" w:hAnsi="宋体" w:eastAsia="宋体" w:cs="宋体"/>
              </w:rPr>
              <w:t>十四、化工生产装置未按国家标准要求设置双重电源供电，自动化控制系统未设置不间断电源。</w:t>
            </w:r>
          </w:p>
        </w:tc>
        <w:tc>
          <w:tcPr>
            <w:tcW w:w="3177" w:type="dxa"/>
            <w:vAlign w:val="center"/>
          </w:tcPr>
          <w:p w14:paraId="304A16FB">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7C99558F">
            <w:pPr>
              <w:bidi w:val="0"/>
              <w:jc w:val="center"/>
              <w:rPr>
                <w:rFonts w:hint="eastAsia" w:ascii="宋体" w:hAnsi="宋体" w:eastAsia="宋体" w:cs="宋体"/>
              </w:rPr>
            </w:pPr>
            <w:r>
              <w:rPr>
                <w:rFonts w:hint="eastAsia" w:ascii="宋体" w:hAnsi="宋体" w:eastAsia="宋体" w:cs="宋体"/>
              </w:rPr>
              <w:t>不涉及</w:t>
            </w:r>
          </w:p>
        </w:tc>
      </w:tr>
      <w:tr w14:paraId="5341F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5064" w:type="dxa"/>
            <w:vAlign w:val="center"/>
          </w:tcPr>
          <w:p w14:paraId="4D250109">
            <w:pPr>
              <w:bidi w:val="0"/>
              <w:jc w:val="left"/>
              <w:rPr>
                <w:rFonts w:hint="eastAsia" w:ascii="宋体" w:hAnsi="宋体" w:eastAsia="宋体" w:cs="宋体"/>
              </w:rPr>
            </w:pPr>
            <w:r>
              <w:rPr>
                <w:rFonts w:hint="eastAsia" w:ascii="宋体" w:hAnsi="宋体" w:eastAsia="宋体" w:cs="宋体"/>
              </w:rPr>
              <w:t>十五、安全阀、爆破片等安全附件未正常投用。</w:t>
            </w:r>
          </w:p>
        </w:tc>
        <w:tc>
          <w:tcPr>
            <w:tcW w:w="3177" w:type="dxa"/>
            <w:vAlign w:val="center"/>
          </w:tcPr>
          <w:p w14:paraId="0B8A08D6">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35F34D48">
            <w:pPr>
              <w:bidi w:val="0"/>
              <w:jc w:val="center"/>
              <w:rPr>
                <w:rFonts w:hint="eastAsia" w:ascii="宋体" w:hAnsi="宋体" w:eastAsia="宋体" w:cs="宋体"/>
              </w:rPr>
            </w:pPr>
            <w:r>
              <w:rPr>
                <w:rFonts w:hint="eastAsia" w:ascii="宋体" w:hAnsi="宋体" w:eastAsia="宋体" w:cs="宋体"/>
              </w:rPr>
              <w:t>不涉及</w:t>
            </w:r>
          </w:p>
        </w:tc>
      </w:tr>
      <w:tr w14:paraId="37689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jc w:val="center"/>
        </w:trPr>
        <w:tc>
          <w:tcPr>
            <w:tcW w:w="5064" w:type="dxa"/>
            <w:vAlign w:val="center"/>
          </w:tcPr>
          <w:p w14:paraId="497D71D0">
            <w:pPr>
              <w:bidi w:val="0"/>
              <w:jc w:val="left"/>
              <w:rPr>
                <w:rFonts w:hint="eastAsia" w:ascii="宋体" w:hAnsi="宋体" w:eastAsia="宋体" w:cs="宋体"/>
              </w:rPr>
            </w:pPr>
            <w:r>
              <w:rPr>
                <w:rFonts w:hint="eastAsia" w:ascii="宋体" w:hAnsi="宋体" w:eastAsia="宋体" w:cs="宋体"/>
              </w:rPr>
              <w:t>十六、未建立与岗位相匹配的全员安全生产责任制或者未制定实施生产安全事故隐患排查治理制度。</w:t>
            </w:r>
          </w:p>
        </w:tc>
        <w:tc>
          <w:tcPr>
            <w:tcW w:w="3177" w:type="dxa"/>
            <w:vAlign w:val="center"/>
          </w:tcPr>
          <w:p w14:paraId="42653DC1">
            <w:pPr>
              <w:bidi w:val="0"/>
              <w:jc w:val="center"/>
              <w:rPr>
                <w:rFonts w:hint="eastAsia" w:ascii="宋体" w:hAnsi="宋体" w:eastAsia="宋体" w:cs="宋体"/>
              </w:rPr>
            </w:pPr>
            <w:r>
              <w:rPr>
                <w:rFonts w:hint="eastAsia" w:ascii="宋体" w:hAnsi="宋体" w:eastAsia="宋体" w:cs="宋体"/>
              </w:rPr>
              <w:t>已建立与岗位相匹配的全员安全生产责任制。</w:t>
            </w:r>
          </w:p>
        </w:tc>
        <w:tc>
          <w:tcPr>
            <w:tcW w:w="1163" w:type="dxa"/>
            <w:vAlign w:val="center"/>
          </w:tcPr>
          <w:p w14:paraId="3CD31615">
            <w:pPr>
              <w:bidi w:val="0"/>
              <w:jc w:val="center"/>
              <w:rPr>
                <w:rFonts w:hint="eastAsia" w:ascii="宋体" w:hAnsi="宋体" w:eastAsia="宋体" w:cs="宋体"/>
              </w:rPr>
            </w:pPr>
            <w:r>
              <w:rPr>
                <w:rFonts w:hint="eastAsia" w:ascii="宋体" w:hAnsi="宋体" w:eastAsia="宋体" w:cs="宋体"/>
              </w:rPr>
              <w:t>不构成</w:t>
            </w:r>
          </w:p>
        </w:tc>
      </w:tr>
      <w:tr w14:paraId="211D6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5064" w:type="dxa"/>
            <w:vAlign w:val="center"/>
          </w:tcPr>
          <w:p w14:paraId="3AEC5257">
            <w:pPr>
              <w:bidi w:val="0"/>
              <w:jc w:val="left"/>
              <w:rPr>
                <w:rFonts w:hint="eastAsia" w:ascii="宋体" w:hAnsi="宋体" w:eastAsia="宋体" w:cs="宋体"/>
              </w:rPr>
            </w:pPr>
            <w:r>
              <w:rPr>
                <w:rFonts w:hint="eastAsia" w:ascii="宋体" w:hAnsi="宋体" w:eastAsia="宋体" w:cs="宋体"/>
              </w:rPr>
              <w:t>十七、未制定操作规程和工艺控制指标。</w:t>
            </w:r>
          </w:p>
        </w:tc>
        <w:tc>
          <w:tcPr>
            <w:tcW w:w="3177" w:type="dxa"/>
            <w:vAlign w:val="center"/>
          </w:tcPr>
          <w:p w14:paraId="77DA5EEF">
            <w:pPr>
              <w:bidi w:val="0"/>
              <w:jc w:val="center"/>
              <w:rPr>
                <w:rFonts w:hint="eastAsia" w:ascii="宋体" w:hAnsi="宋体" w:eastAsia="宋体" w:cs="宋体"/>
              </w:rPr>
            </w:pPr>
            <w:r>
              <w:rPr>
                <w:rFonts w:hint="eastAsia" w:ascii="宋体" w:hAnsi="宋体" w:eastAsia="宋体" w:cs="宋体"/>
              </w:rPr>
              <w:t>制定操作规程和工艺控制指标。</w:t>
            </w:r>
          </w:p>
        </w:tc>
        <w:tc>
          <w:tcPr>
            <w:tcW w:w="1163" w:type="dxa"/>
            <w:vAlign w:val="center"/>
          </w:tcPr>
          <w:p w14:paraId="25604605">
            <w:pPr>
              <w:bidi w:val="0"/>
              <w:jc w:val="center"/>
              <w:rPr>
                <w:rFonts w:hint="eastAsia" w:ascii="宋体" w:hAnsi="宋体" w:eastAsia="宋体" w:cs="宋体"/>
              </w:rPr>
            </w:pPr>
            <w:r>
              <w:rPr>
                <w:rFonts w:hint="eastAsia" w:ascii="宋体" w:hAnsi="宋体" w:eastAsia="宋体" w:cs="宋体"/>
              </w:rPr>
              <w:t>不构成</w:t>
            </w:r>
          </w:p>
        </w:tc>
      </w:tr>
      <w:tr w14:paraId="6500C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jc w:val="center"/>
        </w:trPr>
        <w:tc>
          <w:tcPr>
            <w:tcW w:w="5064" w:type="dxa"/>
            <w:vAlign w:val="center"/>
          </w:tcPr>
          <w:p w14:paraId="2161EFE3">
            <w:pPr>
              <w:bidi w:val="0"/>
              <w:jc w:val="left"/>
              <w:rPr>
                <w:rFonts w:hint="eastAsia" w:ascii="宋体" w:hAnsi="宋体" w:eastAsia="宋体" w:cs="宋体"/>
              </w:rPr>
            </w:pPr>
            <w:r>
              <w:rPr>
                <w:rFonts w:hint="eastAsia" w:ascii="宋体" w:hAnsi="宋体" w:eastAsia="宋体" w:cs="宋体"/>
              </w:rPr>
              <w:t>十八、未按照国家标准制定动火、进入受限空间等特殊作业管理制度，或者制度未有效执行。</w:t>
            </w:r>
          </w:p>
        </w:tc>
        <w:tc>
          <w:tcPr>
            <w:tcW w:w="3177" w:type="dxa"/>
            <w:vAlign w:val="center"/>
          </w:tcPr>
          <w:p w14:paraId="31F6C846">
            <w:pPr>
              <w:bidi w:val="0"/>
              <w:jc w:val="center"/>
              <w:rPr>
                <w:rFonts w:hint="eastAsia" w:ascii="宋体" w:hAnsi="宋体" w:eastAsia="宋体" w:cs="宋体"/>
              </w:rPr>
            </w:pPr>
            <w:r>
              <w:rPr>
                <w:rFonts w:hint="eastAsia" w:ascii="宋体" w:hAnsi="宋体" w:eastAsia="宋体" w:cs="宋体"/>
              </w:rPr>
              <w:t>按照国家标准制定动火、进入受限空间等特殊作业管理制度，并有效执行。</w:t>
            </w:r>
          </w:p>
        </w:tc>
        <w:tc>
          <w:tcPr>
            <w:tcW w:w="1163" w:type="dxa"/>
            <w:vAlign w:val="center"/>
          </w:tcPr>
          <w:p w14:paraId="54514309">
            <w:pPr>
              <w:bidi w:val="0"/>
              <w:jc w:val="center"/>
              <w:rPr>
                <w:rFonts w:hint="eastAsia" w:ascii="宋体" w:hAnsi="宋体" w:eastAsia="宋体" w:cs="宋体"/>
              </w:rPr>
            </w:pPr>
            <w:r>
              <w:rPr>
                <w:rFonts w:hint="eastAsia" w:ascii="宋体" w:hAnsi="宋体" w:eastAsia="宋体" w:cs="宋体"/>
              </w:rPr>
              <w:t>不构成</w:t>
            </w:r>
          </w:p>
        </w:tc>
      </w:tr>
      <w:tr w14:paraId="58DB9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jc w:val="center"/>
        </w:trPr>
        <w:tc>
          <w:tcPr>
            <w:tcW w:w="5064" w:type="dxa"/>
            <w:vAlign w:val="center"/>
          </w:tcPr>
          <w:p w14:paraId="65D01A98">
            <w:pPr>
              <w:bidi w:val="0"/>
              <w:jc w:val="left"/>
              <w:rPr>
                <w:rFonts w:hint="eastAsia" w:ascii="宋体" w:hAnsi="宋体" w:eastAsia="宋体" w:cs="宋体"/>
              </w:rPr>
            </w:pPr>
            <w:r>
              <w:rPr>
                <w:rFonts w:hint="eastAsia" w:ascii="宋体" w:hAnsi="宋体" w:eastAsia="宋体" w:cs="宋体"/>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3177" w:type="dxa"/>
            <w:vAlign w:val="center"/>
          </w:tcPr>
          <w:p w14:paraId="249E882E">
            <w:pPr>
              <w:bidi w:val="0"/>
              <w:jc w:val="center"/>
              <w:rPr>
                <w:rFonts w:hint="eastAsia" w:ascii="宋体" w:hAnsi="宋体" w:eastAsia="宋体" w:cs="宋体"/>
              </w:rPr>
            </w:pPr>
            <w:r>
              <w:rPr>
                <w:rFonts w:hint="eastAsia" w:ascii="宋体" w:hAnsi="宋体" w:eastAsia="宋体" w:cs="宋体"/>
              </w:rPr>
              <w:t>不涉及</w:t>
            </w:r>
          </w:p>
        </w:tc>
        <w:tc>
          <w:tcPr>
            <w:tcW w:w="1163" w:type="dxa"/>
            <w:vAlign w:val="center"/>
          </w:tcPr>
          <w:p w14:paraId="1FDCEC11">
            <w:pPr>
              <w:bidi w:val="0"/>
              <w:jc w:val="center"/>
              <w:rPr>
                <w:rFonts w:hint="eastAsia" w:ascii="宋体" w:hAnsi="宋体" w:eastAsia="宋体" w:cs="宋体"/>
              </w:rPr>
            </w:pPr>
            <w:r>
              <w:rPr>
                <w:rFonts w:hint="eastAsia" w:ascii="宋体" w:hAnsi="宋体" w:eastAsia="宋体" w:cs="宋体"/>
              </w:rPr>
              <w:t>不涉及</w:t>
            </w:r>
          </w:p>
        </w:tc>
      </w:tr>
      <w:tr w14:paraId="51D12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5064" w:type="dxa"/>
            <w:vAlign w:val="center"/>
          </w:tcPr>
          <w:p w14:paraId="2CE110FD">
            <w:pPr>
              <w:bidi w:val="0"/>
              <w:jc w:val="left"/>
              <w:rPr>
                <w:rFonts w:hint="eastAsia" w:ascii="宋体" w:hAnsi="宋体" w:eastAsia="宋体" w:cs="宋体"/>
              </w:rPr>
            </w:pPr>
            <w:r>
              <w:rPr>
                <w:rFonts w:hint="eastAsia" w:ascii="宋体" w:hAnsi="宋体" w:eastAsia="宋体" w:cs="宋体"/>
              </w:rPr>
              <w:t>二十、未按国家标准分区分类储存危险化学品，超量、超品种储存危险化学品，相互禁配物质混放混存。</w:t>
            </w:r>
          </w:p>
        </w:tc>
        <w:tc>
          <w:tcPr>
            <w:tcW w:w="3177" w:type="dxa"/>
            <w:vAlign w:val="center"/>
          </w:tcPr>
          <w:p w14:paraId="7208DBD3">
            <w:pPr>
              <w:bidi w:val="0"/>
              <w:jc w:val="center"/>
              <w:rPr>
                <w:rFonts w:hint="eastAsia" w:ascii="宋体" w:hAnsi="宋体" w:eastAsia="宋体" w:cs="宋体"/>
              </w:rPr>
            </w:pPr>
            <w:r>
              <w:rPr>
                <w:rFonts w:hint="eastAsia" w:ascii="宋体" w:hAnsi="宋体" w:eastAsia="宋体" w:cs="宋体"/>
              </w:rPr>
              <w:t>汽油、柴油分开储存。</w:t>
            </w:r>
          </w:p>
        </w:tc>
        <w:tc>
          <w:tcPr>
            <w:tcW w:w="1163" w:type="dxa"/>
            <w:vAlign w:val="center"/>
          </w:tcPr>
          <w:p w14:paraId="324B4623">
            <w:pPr>
              <w:bidi w:val="0"/>
              <w:jc w:val="center"/>
              <w:rPr>
                <w:rFonts w:hint="eastAsia" w:ascii="宋体" w:hAnsi="宋体" w:eastAsia="宋体" w:cs="宋体"/>
              </w:rPr>
            </w:pPr>
            <w:r>
              <w:rPr>
                <w:rFonts w:hint="eastAsia" w:ascii="宋体" w:hAnsi="宋体" w:eastAsia="宋体" w:cs="宋体"/>
              </w:rPr>
              <w:t>不构成</w:t>
            </w:r>
          </w:p>
        </w:tc>
      </w:tr>
    </w:tbl>
    <w:p w14:paraId="2EB624F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经逐条检查，该加油站不存在重大生产安全事故隐患。</w:t>
      </w:r>
    </w:p>
    <w:p w14:paraId="787B4886">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90" w:name="_Toc21166"/>
      <w:bookmarkStart w:id="491" w:name="_Toc14935"/>
      <w:bookmarkStart w:id="492" w:name="_Toc11961"/>
      <w:bookmarkStart w:id="493" w:name="_Toc17089"/>
      <w:r>
        <w:rPr>
          <w:rFonts w:hint="eastAsia" w:ascii="宋体" w:hAnsi="宋体" w:eastAsia="宋体" w:cs="宋体"/>
          <w:b/>
          <w:color w:val="000000" w:themeColor="text1"/>
          <w:sz w:val="30"/>
          <w:szCs w:val="30"/>
          <w:lang w:val="en-US" w:eastAsia="zh-CN"/>
          <w14:textFill>
            <w14:solidFill>
              <w14:schemeClr w14:val="tx1"/>
            </w14:solidFill>
          </w14:textFill>
        </w:rPr>
        <w:t>7.5.2安全经营条件单元安全检查表</w:t>
      </w:r>
      <w:bookmarkEnd w:id="490"/>
      <w:bookmarkEnd w:id="491"/>
      <w:bookmarkEnd w:id="492"/>
      <w:bookmarkEnd w:id="493"/>
    </w:p>
    <w:p w14:paraId="16F50F4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本单元主要依据《危险化学品经营许可证管理办法》（国家安全生产监督管理总局令第55号）和《云南省安全生产监督管理局关于危险化学品经营行政许可有关事项的通知》（云安监管〔2013〕13号）编制安全检查表进行评价。</w:t>
      </w:r>
    </w:p>
    <w:p w14:paraId="532675EB">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snapToGrid/>
          <w:color w:val="000000" w:themeColor="text1"/>
          <w:kern w:val="0"/>
          <w:sz w:val="21"/>
          <w:szCs w:val="21"/>
          <w:lang w:val="en-US" w:eastAsia="zh-CN" w:bidi="ar-SA"/>
          <w14:textFill>
            <w14:solidFill>
              <w14:schemeClr w14:val="tx1"/>
            </w14:solidFill>
          </w14:textFill>
        </w:rPr>
      </w:pPr>
      <w:r>
        <w:rPr>
          <w:rFonts w:hint="eastAsia" w:ascii="宋体" w:hAnsi="宋体" w:eastAsia="宋体" w:cs="宋体"/>
          <w:snapToGrid/>
          <w:color w:val="000000" w:themeColor="text1"/>
          <w:kern w:val="0"/>
          <w:sz w:val="21"/>
          <w:szCs w:val="21"/>
          <w:lang w:val="en-US" w:eastAsia="zh-CN" w:bidi="ar-SA"/>
          <w14:textFill>
            <w14:solidFill>
              <w14:schemeClr w14:val="tx1"/>
            </w14:solidFill>
          </w14:textFill>
        </w:rPr>
        <w:t>表7-7安全经营条件单元安全检查表</w:t>
      </w:r>
    </w:p>
    <w:tbl>
      <w:tblPr>
        <w:tblStyle w:val="41"/>
        <w:tblW w:w="91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3618"/>
        <w:gridCol w:w="1984"/>
        <w:gridCol w:w="2309"/>
        <w:gridCol w:w="768"/>
      </w:tblGrid>
      <w:tr w14:paraId="79C5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jc w:val="center"/>
        </w:trPr>
        <w:tc>
          <w:tcPr>
            <w:tcW w:w="511" w:type="dxa"/>
            <w:vAlign w:val="center"/>
          </w:tcPr>
          <w:p w14:paraId="59067405">
            <w:pPr>
              <w:bidi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618" w:type="dxa"/>
            <w:vAlign w:val="center"/>
          </w:tcPr>
          <w:p w14:paraId="172A3A69">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检查内容</w:t>
            </w:r>
          </w:p>
        </w:tc>
        <w:tc>
          <w:tcPr>
            <w:tcW w:w="1984" w:type="dxa"/>
            <w:vAlign w:val="center"/>
          </w:tcPr>
          <w:p w14:paraId="2C820653">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检查依据</w:t>
            </w:r>
          </w:p>
        </w:tc>
        <w:tc>
          <w:tcPr>
            <w:tcW w:w="2309" w:type="dxa"/>
            <w:vAlign w:val="center"/>
          </w:tcPr>
          <w:p w14:paraId="554B986A">
            <w:pPr>
              <w:bidi w:val="0"/>
              <w:jc w:val="center"/>
              <w:rPr>
                <w:rFonts w:hint="eastAsia" w:ascii="宋体" w:hAnsi="宋体" w:eastAsia="宋体" w:cs="宋体"/>
                <w:b/>
                <w:bCs/>
                <w:sz w:val="21"/>
                <w:szCs w:val="21"/>
              </w:rPr>
            </w:pPr>
            <w:r>
              <w:rPr>
                <w:rFonts w:hint="eastAsia" w:ascii="宋体" w:hAnsi="宋体" w:eastAsia="宋体" w:cs="宋体"/>
                <w:b/>
                <w:bCs/>
                <w:sz w:val="21"/>
                <w:szCs w:val="21"/>
              </w:rPr>
              <w:t>检查记录</w:t>
            </w:r>
          </w:p>
        </w:tc>
        <w:tc>
          <w:tcPr>
            <w:tcW w:w="768" w:type="dxa"/>
            <w:vAlign w:val="center"/>
          </w:tcPr>
          <w:p w14:paraId="214012E9">
            <w:pPr>
              <w:bidi w:val="0"/>
              <w:jc w:val="center"/>
              <w:rPr>
                <w:rFonts w:hint="eastAsia" w:ascii="宋体" w:hAnsi="宋体" w:eastAsia="宋体" w:cs="宋体"/>
                <w:b/>
                <w:bCs/>
                <w:sz w:val="21"/>
                <w:szCs w:val="21"/>
              </w:rPr>
            </w:pPr>
            <w:r>
              <w:rPr>
                <w:rFonts w:hint="eastAsia" w:ascii="宋体" w:hAnsi="宋体" w:eastAsia="宋体" w:cs="宋体"/>
                <w:b/>
                <w:bCs/>
                <w:sz w:val="21"/>
                <w:szCs w:val="21"/>
              </w:rPr>
              <w:t>结论</w:t>
            </w:r>
          </w:p>
        </w:tc>
      </w:tr>
      <w:tr w14:paraId="2F367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511" w:type="dxa"/>
            <w:vMerge w:val="restart"/>
            <w:vAlign w:val="center"/>
          </w:tcPr>
          <w:p w14:paraId="4E6CA0E7">
            <w:pPr>
              <w:bidi w:val="0"/>
              <w:jc w:val="center"/>
              <w:rPr>
                <w:rFonts w:hint="eastAsia" w:ascii="宋体" w:hAnsi="宋体" w:eastAsia="宋体" w:cs="宋体"/>
                <w:sz w:val="21"/>
                <w:szCs w:val="21"/>
              </w:rPr>
            </w:pPr>
            <w:r>
              <w:rPr>
                <w:rFonts w:hint="eastAsia" w:ascii="宋体" w:hAnsi="宋体" w:eastAsia="宋体" w:cs="宋体"/>
                <w:sz w:val="21"/>
                <w:szCs w:val="21"/>
              </w:rPr>
              <w:t>1</w:t>
            </w:r>
          </w:p>
        </w:tc>
        <w:tc>
          <w:tcPr>
            <w:tcW w:w="3618" w:type="dxa"/>
            <w:vAlign w:val="top"/>
          </w:tcPr>
          <w:p w14:paraId="3EDA5C61">
            <w:pPr>
              <w:bidi w:val="0"/>
              <w:rPr>
                <w:rFonts w:hint="eastAsia" w:ascii="宋体" w:hAnsi="宋体" w:eastAsia="宋体" w:cs="宋体"/>
                <w:sz w:val="21"/>
                <w:szCs w:val="21"/>
                <w:lang w:eastAsia="zh-CN"/>
              </w:rPr>
            </w:pPr>
            <w:r>
              <w:rPr>
                <w:rFonts w:hint="eastAsia" w:ascii="宋体" w:hAnsi="宋体" w:eastAsia="宋体" w:cs="宋体"/>
                <w:sz w:val="21"/>
                <w:szCs w:val="21"/>
              </w:rPr>
              <w:t>从事危险化学品经营的单位（以下统称申请人）应当依法登记注册为企业</w:t>
            </w:r>
            <w:r>
              <w:rPr>
                <w:rFonts w:hint="eastAsia" w:ascii="宋体" w:hAnsi="宋体" w:eastAsia="宋体" w:cs="宋体"/>
                <w:sz w:val="21"/>
                <w:szCs w:val="21"/>
                <w:lang w:eastAsia="zh-CN"/>
              </w:rPr>
              <w:t>，</w:t>
            </w:r>
            <w:r>
              <w:rPr>
                <w:rFonts w:hint="eastAsia" w:ascii="宋体" w:hAnsi="宋体" w:eastAsia="宋体" w:cs="宋体"/>
                <w:sz w:val="21"/>
                <w:szCs w:val="21"/>
              </w:rPr>
              <w:t>并具备下列基本条件：</w:t>
            </w:r>
          </w:p>
        </w:tc>
        <w:tc>
          <w:tcPr>
            <w:tcW w:w="1984" w:type="dxa"/>
            <w:vAlign w:val="top"/>
          </w:tcPr>
          <w:p w14:paraId="3C3DDA48">
            <w:pPr>
              <w:bidi w:val="0"/>
              <w:rPr>
                <w:rFonts w:hint="eastAsia" w:ascii="宋体" w:hAnsi="宋体" w:eastAsia="宋体" w:cs="宋体"/>
                <w:sz w:val="21"/>
                <w:szCs w:val="21"/>
              </w:rPr>
            </w:pPr>
            <w:r>
              <w:rPr>
                <w:rFonts w:hint="eastAsia" w:ascii="宋体" w:hAnsi="宋体" w:eastAsia="宋体" w:cs="宋体"/>
                <w:sz w:val="21"/>
                <w:szCs w:val="21"/>
              </w:rPr>
              <w:t>《危险化学品经营许可证管理办法》</w:t>
            </w:r>
          </w:p>
        </w:tc>
        <w:tc>
          <w:tcPr>
            <w:tcW w:w="2309" w:type="dxa"/>
            <w:vAlign w:val="center"/>
          </w:tcPr>
          <w:p w14:paraId="3667E95B">
            <w:pPr>
              <w:bidi w:val="0"/>
              <w:jc w:val="center"/>
              <w:rPr>
                <w:rFonts w:hint="eastAsia" w:ascii="宋体" w:hAnsi="宋体" w:eastAsia="宋体" w:cs="宋体"/>
                <w:sz w:val="21"/>
                <w:szCs w:val="21"/>
              </w:rPr>
            </w:pPr>
            <w:r>
              <w:rPr>
                <w:rFonts w:hint="eastAsia" w:ascii="宋体" w:hAnsi="宋体" w:eastAsia="宋体" w:cs="宋体"/>
                <w:sz w:val="21"/>
                <w:szCs w:val="21"/>
              </w:rPr>
              <w:t>企业已注册，取证营业执照。</w:t>
            </w:r>
          </w:p>
        </w:tc>
        <w:tc>
          <w:tcPr>
            <w:tcW w:w="768" w:type="dxa"/>
            <w:vAlign w:val="center"/>
          </w:tcPr>
          <w:p w14:paraId="51B17DEE">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5087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511" w:type="dxa"/>
            <w:vMerge w:val="continue"/>
            <w:vAlign w:val="center"/>
          </w:tcPr>
          <w:p w14:paraId="2E1D5ED7">
            <w:pPr>
              <w:bidi w:val="0"/>
              <w:jc w:val="center"/>
              <w:rPr>
                <w:rFonts w:hint="eastAsia" w:ascii="宋体" w:hAnsi="宋体" w:eastAsia="宋体" w:cs="宋体"/>
                <w:sz w:val="21"/>
                <w:szCs w:val="21"/>
              </w:rPr>
            </w:pPr>
          </w:p>
        </w:tc>
        <w:tc>
          <w:tcPr>
            <w:tcW w:w="3618" w:type="dxa"/>
            <w:tcBorders>
              <w:bottom w:val="single" w:color="000000" w:sz="2" w:space="0"/>
            </w:tcBorders>
            <w:vAlign w:val="top"/>
          </w:tcPr>
          <w:p w14:paraId="1BC5C76A">
            <w:pPr>
              <w:bidi w:val="0"/>
              <w:rPr>
                <w:rFonts w:hint="eastAsia" w:ascii="宋体" w:hAnsi="宋体" w:eastAsia="宋体" w:cs="宋体"/>
                <w:sz w:val="21"/>
                <w:szCs w:val="21"/>
              </w:rPr>
            </w:pPr>
            <w:r>
              <w:rPr>
                <w:rFonts w:hint="eastAsia" w:ascii="宋体" w:hAnsi="宋体" w:eastAsia="宋体" w:cs="宋体"/>
                <w:sz w:val="21"/>
                <w:szCs w:val="21"/>
              </w:rPr>
              <w:t>（一）经营和储存场所、设施、建筑物符合《建筑设计防火规范》</w:t>
            </w:r>
          </w:p>
          <w:p w14:paraId="35F89CA4">
            <w:pPr>
              <w:bidi w:val="0"/>
              <w:rPr>
                <w:rFonts w:hint="eastAsia" w:ascii="宋体" w:hAnsi="宋体" w:eastAsia="宋体" w:cs="宋体"/>
                <w:sz w:val="21"/>
                <w:szCs w:val="21"/>
              </w:rPr>
            </w:pPr>
            <w:r>
              <w:rPr>
                <w:rFonts w:hint="eastAsia" w:ascii="宋体" w:hAnsi="宋体" w:eastAsia="宋体" w:cs="宋体"/>
                <w:sz w:val="21"/>
                <w:szCs w:val="21"/>
              </w:rPr>
              <w:t>（GB50016）、《石油化工企业设计防火规范》（GB50160）、《汽车加油加气加氢站技术标准》（GB50156）、《石油库设计规范》（GB50074）等相关国家标准、行业标准的规定；</w:t>
            </w:r>
          </w:p>
        </w:tc>
        <w:tc>
          <w:tcPr>
            <w:tcW w:w="1984" w:type="dxa"/>
            <w:vMerge w:val="restart"/>
            <w:tcBorders>
              <w:bottom w:val="single" w:color="000000" w:sz="2" w:space="0"/>
            </w:tcBorders>
            <w:vAlign w:val="top"/>
          </w:tcPr>
          <w:p w14:paraId="77356549">
            <w:pPr>
              <w:bidi w:val="0"/>
              <w:rPr>
                <w:rFonts w:hint="eastAsia" w:ascii="宋体" w:hAnsi="宋体" w:eastAsia="宋体" w:cs="宋体"/>
                <w:sz w:val="21"/>
                <w:szCs w:val="21"/>
              </w:rPr>
            </w:pPr>
            <w:r>
              <w:rPr>
                <w:rFonts w:hint="eastAsia" w:ascii="宋体" w:hAnsi="宋体" w:eastAsia="宋体" w:cs="宋体"/>
                <w:sz w:val="21"/>
                <w:szCs w:val="21"/>
              </w:rPr>
              <w:t>（国家安全生产监督管理总局令第55号）第六条</w:t>
            </w:r>
          </w:p>
        </w:tc>
        <w:tc>
          <w:tcPr>
            <w:tcW w:w="2309" w:type="dxa"/>
            <w:tcBorders>
              <w:bottom w:val="single" w:color="000000" w:sz="2" w:space="0"/>
            </w:tcBorders>
            <w:vAlign w:val="center"/>
          </w:tcPr>
          <w:p w14:paraId="162091F4">
            <w:pPr>
              <w:bidi w:val="0"/>
              <w:jc w:val="center"/>
              <w:rPr>
                <w:rFonts w:hint="eastAsia" w:ascii="宋体" w:hAnsi="宋体" w:eastAsia="宋体" w:cs="宋体"/>
                <w:sz w:val="21"/>
                <w:szCs w:val="21"/>
              </w:rPr>
            </w:pPr>
            <w:r>
              <w:rPr>
                <w:rFonts w:hint="eastAsia" w:ascii="宋体" w:hAnsi="宋体" w:eastAsia="宋体" w:cs="宋体"/>
                <w:sz w:val="21"/>
                <w:szCs w:val="21"/>
              </w:rPr>
              <w:t>经检查，经营和储存场所《汽车加油加气加氢站技术标准》</w:t>
            </w:r>
          </w:p>
          <w:p w14:paraId="16CD9843">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（GB50156）的相关规定。</w:t>
            </w:r>
          </w:p>
        </w:tc>
        <w:tc>
          <w:tcPr>
            <w:tcW w:w="768" w:type="dxa"/>
            <w:vAlign w:val="center"/>
          </w:tcPr>
          <w:p w14:paraId="6245693D">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符合</w:t>
            </w:r>
          </w:p>
        </w:tc>
      </w:tr>
      <w:tr w14:paraId="19001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4" w:hRule="atLeast"/>
          <w:jc w:val="center"/>
        </w:trPr>
        <w:tc>
          <w:tcPr>
            <w:tcW w:w="511" w:type="dxa"/>
            <w:vMerge w:val="continue"/>
            <w:vAlign w:val="top"/>
          </w:tcPr>
          <w:p w14:paraId="27BC9B34">
            <w:pPr>
              <w:bidi w:val="0"/>
              <w:rPr>
                <w:rFonts w:hint="eastAsia" w:ascii="宋体" w:hAnsi="宋体" w:eastAsia="宋体" w:cs="宋体"/>
                <w:sz w:val="21"/>
                <w:szCs w:val="21"/>
              </w:rPr>
            </w:pPr>
          </w:p>
        </w:tc>
        <w:tc>
          <w:tcPr>
            <w:tcW w:w="3618" w:type="dxa"/>
            <w:tcBorders>
              <w:top w:val="single" w:color="000000" w:sz="2" w:space="0"/>
            </w:tcBorders>
            <w:vAlign w:val="top"/>
          </w:tcPr>
          <w:p w14:paraId="51DE8C65">
            <w:pPr>
              <w:bidi w:val="0"/>
              <w:rPr>
                <w:rFonts w:hint="eastAsia" w:ascii="宋体" w:hAnsi="宋体" w:eastAsia="宋体" w:cs="宋体"/>
                <w:sz w:val="21"/>
                <w:szCs w:val="21"/>
              </w:rPr>
            </w:pPr>
            <w:r>
              <w:rPr>
                <w:rFonts w:hint="eastAsia" w:ascii="宋体" w:hAnsi="宋体" w:eastAsia="宋体" w:cs="宋体"/>
                <w:sz w:val="21"/>
                <w:szCs w:val="21"/>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1984" w:type="dxa"/>
            <w:vMerge w:val="continue"/>
            <w:tcBorders>
              <w:top w:val="single" w:color="000000" w:sz="2" w:space="0"/>
              <w:bottom w:val="nil"/>
            </w:tcBorders>
            <w:vAlign w:val="top"/>
          </w:tcPr>
          <w:p w14:paraId="1A06DBCB">
            <w:pPr>
              <w:bidi w:val="0"/>
              <w:rPr>
                <w:rFonts w:hint="eastAsia" w:ascii="宋体" w:hAnsi="宋体" w:eastAsia="宋体" w:cs="宋体"/>
                <w:sz w:val="21"/>
                <w:szCs w:val="21"/>
              </w:rPr>
            </w:pPr>
          </w:p>
        </w:tc>
        <w:tc>
          <w:tcPr>
            <w:tcW w:w="2309" w:type="dxa"/>
            <w:tcBorders>
              <w:top w:val="single" w:color="000000" w:sz="2" w:space="0"/>
            </w:tcBorders>
            <w:vAlign w:val="center"/>
          </w:tcPr>
          <w:p w14:paraId="203C2FC2">
            <w:pPr>
              <w:bidi w:val="0"/>
              <w:jc w:val="center"/>
              <w:rPr>
                <w:rFonts w:hint="eastAsia" w:ascii="宋体" w:hAnsi="宋体" w:eastAsia="宋体" w:cs="宋体"/>
                <w:sz w:val="21"/>
                <w:szCs w:val="21"/>
              </w:rPr>
            </w:pPr>
            <w:r>
              <w:rPr>
                <w:rFonts w:hint="eastAsia" w:ascii="宋体" w:hAnsi="宋体" w:eastAsia="宋体" w:cs="宋体"/>
                <w:sz w:val="21"/>
                <w:szCs w:val="21"/>
              </w:rPr>
              <w:t>加油站的负责人、安全员已取证。</w:t>
            </w:r>
          </w:p>
        </w:tc>
        <w:tc>
          <w:tcPr>
            <w:tcW w:w="768" w:type="dxa"/>
            <w:vAlign w:val="center"/>
          </w:tcPr>
          <w:p w14:paraId="24DF635E">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249F9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4" w:hRule="atLeast"/>
          <w:jc w:val="center"/>
        </w:trPr>
        <w:tc>
          <w:tcPr>
            <w:tcW w:w="511" w:type="dxa"/>
            <w:vMerge w:val="continue"/>
            <w:vAlign w:val="top"/>
          </w:tcPr>
          <w:p w14:paraId="40B9384B">
            <w:pPr>
              <w:bidi w:val="0"/>
              <w:rPr>
                <w:rFonts w:hint="eastAsia" w:ascii="宋体" w:hAnsi="宋体" w:eastAsia="宋体" w:cs="宋体"/>
                <w:sz w:val="21"/>
                <w:szCs w:val="21"/>
              </w:rPr>
            </w:pPr>
          </w:p>
        </w:tc>
        <w:tc>
          <w:tcPr>
            <w:tcW w:w="3618" w:type="dxa"/>
            <w:vAlign w:val="top"/>
          </w:tcPr>
          <w:p w14:paraId="4A0F9A28">
            <w:pPr>
              <w:bidi w:val="0"/>
              <w:rPr>
                <w:rFonts w:hint="eastAsia" w:ascii="宋体" w:hAnsi="宋体" w:eastAsia="宋体" w:cs="宋体"/>
                <w:sz w:val="21"/>
                <w:szCs w:val="21"/>
              </w:rPr>
            </w:pPr>
            <w:r>
              <w:rPr>
                <w:rFonts w:hint="eastAsia" w:ascii="宋体" w:hAnsi="宋体" w:eastAsia="宋体" w:cs="宋体"/>
                <w:sz w:val="21"/>
                <w:szCs w:val="21"/>
              </w:rPr>
              <w:t>（三）有健全的安全生产规章制度和岗位操作规程。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1984" w:type="dxa"/>
            <w:vMerge w:val="continue"/>
            <w:tcBorders>
              <w:top w:val="nil"/>
              <w:bottom w:val="nil"/>
            </w:tcBorders>
            <w:vAlign w:val="top"/>
          </w:tcPr>
          <w:p w14:paraId="1AAF361B">
            <w:pPr>
              <w:bidi w:val="0"/>
              <w:rPr>
                <w:rFonts w:hint="eastAsia" w:ascii="宋体" w:hAnsi="宋体" w:eastAsia="宋体" w:cs="宋体"/>
                <w:sz w:val="21"/>
                <w:szCs w:val="21"/>
              </w:rPr>
            </w:pPr>
          </w:p>
        </w:tc>
        <w:tc>
          <w:tcPr>
            <w:tcW w:w="2309" w:type="dxa"/>
            <w:vAlign w:val="center"/>
          </w:tcPr>
          <w:p w14:paraId="3404A645">
            <w:pPr>
              <w:bidi w:val="0"/>
              <w:jc w:val="center"/>
              <w:rPr>
                <w:rFonts w:hint="eastAsia" w:ascii="宋体" w:hAnsi="宋体" w:eastAsia="宋体" w:cs="宋体"/>
                <w:sz w:val="21"/>
                <w:szCs w:val="21"/>
              </w:rPr>
            </w:pPr>
            <w:r>
              <w:rPr>
                <w:rFonts w:hint="eastAsia" w:ascii="宋体" w:hAnsi="宋体" w:eastAsia="宋体" w:cs="宋体"/>
                <w:sz w:val="21"/>
                <w:szCs w:val="21"/>
              </w:rPr>
              <w:t>有完善的安全经营管理制度。</w:t>
            </w:r>
          </w:p>
        </w:tc>
        <w:tc>
          <w:tcPr>
            <w:tcW w:w="768" w:type="dxa"/>
            <w:vAlign w:val="center"/>
          </w:tcPr>
          <w:p w14:paraId="6F37C42A">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3DF06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511" w:type="dxa"/>
            <w:vMerge w:val="continue"/>
            <w:vAlign w:val="top"/>
          </w:tcPr>
          <w:p w14:paraId="50F83AB2">
            <w:pPr>
              <w:bidi w:val="0"/>
              <w:rPr>
                <w:rFonts w:hint="eastAsia" w:ascii="宋体" w:hAnsi="宋体" w:eastAsia="宋体" w:cs="宋体"/>
                <w:sz w:val="21"/>
                <w:szCs w:val="21"/>
              </w:rPr>
            </w:pPr>
          </w:p>
        </w:tc>
        <w:tc>
          <w:tcPr>
            <w:tcW w:w="3618" w:type="dxa"/>
            <w:vAlign w:val="top"/>
          </w:tcPr>
          <w:p w14:paraId="1AA112A0">
            <w:pPr>
              <w:bidi w:val="0"/>
              <w:rPr>
                <w:rFonts w:hint="eastAsia" w:ascii="宋体" w:hAnsi="宋体" w:eastAsia="宋体" w:cs="宋体"/>
                <w:sz w:val="21"/>
                <w:szCs w:val="21"/>
              </w:rPr>
            </w:pPr>
            <w:r>
              <w:rPr>
                <w:rFonts w:hint="eastAsia" w:ascii="宋体" w:hAnsi="宋体" w:eastAsia="宋体" w:cs="宋体"/>
                <w:sz w:val="21"/>
                <w:szCs w:val="21"/>
              </w:rPr>
              <w:t>（四）有符合国家规定的危险化学品事故应急预案，并配备必要的应急救援器材、设备；</w:t>
            </w:r>
          </w:p>
        </w:tc>
        <w:tc>
          <w:tcPr>
            <w:tcW w:w="1984" w:type="dxa"/>
            <w:vMerge w:val="continue"/>
            <w:tcBorders>
              <w:top w:val="nil"/>
              <w:bottom w:val="nil"/>
            </w:tcBorders>
            <w:vAlign w:val="top"/>
          </w:tcPr>
          <w:p w14:paraId="2A358BC1">
            <w:pPr>
              <w:bidi w:val="0"/>
              <w:rPr>
                <w:rFonts w:hint="eastAsia" w:ascii="宋体" w:hAnsi="宋体" w:eastAsia="宋体" w:cs="宋体"/>
                <w:sz w:val="21"/>
                <w:szCs w:val="21"/>
              </w:rPr>
            </w:pPr>
          </w:p>
        </w:tc>
        <w:tc>
          <w:tcPr>
            <w:tcW w:w="2309" w:type="dxa"/>
            <w:vAlign w:val="center"/>
          </w:tcPr>
          <w:p w14:paraId="17A20A5E">
            <w:pPr>
              <w:bidi w:val="0"/>
              <w:jc w:val="center"/>
              <w:rPr>
                <w:rFonts w:hint="eastAsia" w:ascii="宋体" w:hAnsi="宋体" w:eastAsia="宋体" w:cs="宋体"/>
                <w:sz w:val="21"/>
                <w:szCs w:val="21"/>
              </w:rPr>
            </w:pPr>
            <w:r>
              <w:rPr>
                <w:rFonts w:hint="eastAsia" w:ascii="宋体" w:hAnsi="宋体" w:eastAsia="宋体" w:cs="宋体"/>
                <w:sz w:val="21"/>
                <w:szCs w:val="21"/>
              </w:rPr>
              <w:t>应急预案</w:t>
            </w:r>
            <w:r>
              <w:rPr>
                <w:rFonts w:hint="eastAsia" w:ascii="宋体" w:hAnsi="宋体" w:eastAsia="宋体" w:cs="宋体"/>
                <w:sz w:val="21"/>
                <w:szCs w:val="21"/>
                <w:lang w:val="en-US" w:eastAsia="zh-CN"/>
              </w:rPr>
              <w:t>已备案，且未满三年</w:t>
            </w:r>
            <w:r>
              <w:rPr>
                <w:rFonts w:hint="eastAsia" w:ascii="宋体" w:hAnsi="宋体" w:eastAsia="宋体" w:cs="宋体"/>
                <w:sz w:val="21"/>
                <w:szCs w:val="21"/>
              </w:rPr>
              <w:t>。配备了相应的灭火器材和应急器材。</w:t>
            </w:r>
          </w:p>
        </w:tc>
        <w:tc>
          <w:tcPr>
            <w:tcW w:w="768" w:type="dxa"/>
            <w:vAlign w:val="center"/>
          </w:tcPr>
          <w:p w14:paraId="413E2933">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58DE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511" w:type="dxa"/>
            <w:vMerge w:val="continue"/>
            <w:vAlign w:val="top"/>
          </w:tcPr>
          <w:p w14:paraId="0C827692">
            <w:pPr>
              <w:bidi w:val="0"/>
              <w:rPr>
                <w:rFonts w:hint="eastAsia" w:ascii="宋体" w:hAnsi="宋体" w:eastAsia="宋体" w:cs="宋体"/>
                <w:sz w:val="21"/>
                <w:szCs w:val="21"/>
              </w:rPr>
            </w:pPr>
          </w:p>
        </w:tc>
        <w:tc>
          <w:tcPr>
            <w:tcW w:w="3618" w:type="dxa"/>
            <w:vAlign w:val="top"/>
          </w:tcPr>
          <w:p w14:paraId="7250CB78">
            <w:pPr>
              <w:bidi w:val="0"/>
              <w:rPr>
                <w:rFonts w:hint="eastAsia" w:ascii="宋体" w:hAnsi="宋体" w:eastAsia="宋体" w:cs="宋体"/>
                <w:sz w:val="21"/>
                <w:szCs w:val="21"/>
              </w:rPr>
            </w:pPr>
            <w:r>
              <w:rPr>
                <w:rFonts w:hint="eastAsia" w:ascii="宋体" w:hAnsi="宋体" w:eastAsia="宋体" w:cs="宋体"/>
                <w:sz w:val="21"/>
                <w:szCs w:val="21"/>
              </w:rPr>
              <w:t>（五）法律、法规和国家标准或者行业标准规定的其他安全生产条件。</w:t>
            </w:r>
          </w:p>
        </w:tc>
        <w:tc>
          <w:tcPr>
            <w:tcW w:w="1984" w:type="dxa"/>
            <w:vMerge w:val="continue"/>
            <w:tcBorders>
              <w:top w:val="nil"/>
            </w:tcBorders>
            <w:vAlign w:val="top"/>
          </w:tcPr>
          <w:p w14:paraId="19E3F674">
            <w:pPr>
              <w:bidi w:val="0"/>
              <w:rPr>
                <w:rFonts w:hint="eastAsia" w:ascii="宋体" w:hAnsi="宋体" w:eastAsia="宋体" w:cs="宋体"/>
                <w:sz w:val="21"/>
                <w:szCs w:val="21"/>
              </w:rPr>
            </w:pPr>
          </w:p>
        </w:tc>
        <w:tc>
          <w:tcPr>
            <w:tcW w:w="2309" w:type="dxa"/>
            <w:vAlign w:val="center"/>
          </w:tcPr>
          <w:p w14:paraId="79DD7A13">
            <w:pPr>
              <w:bidi w:val="0"/>
              <w:jc w:val="center"/>
              <w:rPr>
                <w:rFonts w:hint="eastAsia" w:ascii="宋体" w:hAnsi="宋体" w:eastAsia="宋体" w:cs="宋体"/>
                <w:sz w:val="21"/>
                <w:szCs w:val="21"/>
              </w:rPr>
            </w:pPr>
            <w:r>
              <w:rPr>
                <w:rFonts w:hint="eastAsia" w:ascii="宋体" w:hAnsi="宋体" w:eastAsia="宋体" w:cs="宋体"/>
                <w:sz w:val="21"/>
                <w:szCs w:val="21"/>
              </w:rPr>
              <w:t>加油站的设施和运营等符合GB50156等法规要求。</w:t>
            </w:r>
          </w:p>
        </w:tc>
        <w:tc>
          <w:tcPr>
            <w:tcW w:w="768" w:type="dxa"/>
            <w:vAlign w:val="center"/>
          </w:tcPr>
          <w:p w14:paraId="7FF0031E">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B74B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511" w:type="dxa"/>
            <w:vMerge w:val="restart"/>
            <w:tcBorders>
              <w:bottom w:val="single" w:color="000000" w:sz="2" w:space="0"/>
            </w:tcBorders>
            <w:vAlign w:val="center"/>
          </w:tcPr>
          <w:p w14:paraId="29CF0660">
            <w:pPr>
              <w:bidi w:val="0"/>
              <w:jc w:val="center"/>
              <w:rPr>
                <w:rFonts w:hint="eastAsia" w:ascii="宋体" w:hAnsi="宋体" w:eastAsia="宋体" w:cs="宋体"/>
                <w:sz w:val="21"/>
                <w:szCs w:val="21"/>
              </w:rPr>
            </w:pPr>
          </w:p>
          <w:p w14:paraId="03B6BF48">
            <w:pPr>
              <w:bidi w:val="0"/>
              <w:jc w:val="center"/>
              <w:rPr>
                <w:rFonts w:hint="eastAsia" w:ascii="宋体" w:hAnsi="宋体" w:eastAsia="宋体" w:cs="宋体"/>
                <w:sz w:val="21"/>
                <w:szCs w:val="21"/>
              </w:rPr>
            </w:pPr>
          </w:p>
          <w:p w14:paraId="3F581AC2">
            <w:pPr>
              <w:bidi w:val="0"/>
              <w:jc w:val="center"/>
              <w:rPr>
                <w:rFonts w:hint="eastAsia" w:ascii="宋体" w:hAnsi="宋体" w:eastAsia="宋体" w:cs="宋体"/>
                <w:sz w:val="21"/>
                <w:szCs w:val="21"/>
              </w:rPr>
            </w:pPr>
          </w:p>
          <w:p w14:paraId="04CF821F">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618" w:type="dxa"/>
            <w:tcBorders>
              <w:bottom w:val="single" w:color="000000" w:sz="2" w:space="0"/>
            </w:tcBorders>
            <w:vAlign w:val="center"/>
          </w:tcPr>
          <w:p w14:paraId="18FAC400">
            <w:pPr>
              <w:bidi w:val="0"/>
              <w:rPr>
                <w:rFonts w:hint="eastAsia" w:ascii="宋体" w:hAnsi="宋体" w:eastAsia="宋体" w:cs="宋体"/>
                <w:sz w:val="21"/>
                <w:szCs w:val="21"/>
              </w:rPr>
            </w:pPr>
            <w:r>
              <w:rPr>
                <w:rFonts w:hint="eastAsia" w:ascii="宋体" w:hAnsi="宋体" w:eastAsia="宋体" w:cs="宋体"/>
                <w:sz w:val="21"/>
                <w:szCs w:val="21"/>
              </w:rPr>
              <w:t>第八条申请人带有储存设施经营危险化学品的，除符合本办法第六条规定的条件外，还应当具备下列条件：</w:t>
            </w:r>
          </w:p>
          <w:p w14:paraId="4CB27001">
            <w:pPr>
              <w:bidi w:val="0"/>
              <w:rPr>
                <w:rFonts w:hint="eastAsia" w:ascii="宋体" w:hAnsi="宋体" w:eastAsia="宋体" w:cs="宋体"/>
                <w:sz w:val="21"/>
                <w:szCs w:val="21"/>
              </w:rPr>
            </w:pPr>
            <w:r>
              <w:rPr>
                <w:rFonts w:hint="eastAsia" w:ascii="宋体" w:hAnsi="宋体" w:eastAsia="宋体" w:cs="宋体"/>
                <w:sz w:val="21"/>
                <w:szCs w:val="21"/>
              </w:rPr>
              <w:t>（一）新设立的专门从事危险化学品仓储经营的，其储存设施建立在地方人民政府规划的用于危险化学品储存的专门区域内；</w:t>
            </w:r>
          </w:p>
        </w:tc>
        <w:tc>
          <w:tcPr>
            <w:tcW w:w="1984" w:type="dxa"/>
            <w:vMerge w:val="restart"/>
            <w:tcBorders>
              <w:bottom w:val="single" w:color="000000" w:sz="2" w:space="0"/>
            </w:tcBorders>
            <w:vAlign w:val="center"/>
          </w:tcPr>
          <w:p w14:paraId="6668C824">
            <w:pPr>
              <w:bidi w:val="0"/>
              <w:rPr>
                <w:rFonts w:hint="eastAsia" w:ascii="宋体" w:hAnsi="宋体" w:eastAsia="宋体" w:cs="宋体"/>
                <w:sz w:val="21"/>
                <w:szCs w:val="21"/>
              </w:rPr>
            </w:pPr>
          </w:p>
          <w:p w14:paraId="5033ED63">
            <w:pPr>
              <w:bidi w:val="0"/>
              <w:rPr>
                <w:rFonts w:hint="eastAsia" w:ascii="宋体" w:hAnsi="宋体" w:eastAsia="宋体" w:cs="宋体"/>
                <w:sz w:val="21"/>
                <w:szCs w:val="21"/>
              </w:rPr>
            </w:pPr>
            <w:r>
              <w:rPr>
                <w:rFonts w:hint="eastAsia" w:ascii="宋体" w:hAnsi="宋体" w:eastAsia="宋体" w:cs="宋体"/>
                <w:sz w:val="21"/>
                <w:szCs w:val="21"/>
              </w:rPr>
              <w:t>《危险化学品经营许可证管理办法》（国家安全生产监督管理总局令第55号）第八条</w:t>
            </w:r>
          </w:p>
        </w:tc>
        <w:tc>
          <w:tcPr>
            <w:tcW w:w="2309" w:type="dxa"/>
            <w:tcBorders>
              <w:bottom w:val="single" w:color="000000" w:sz="2" w:space="0"/>
            </w:tcBorders>
            <w:vAlign w:val="center"/>
          </w:tcPr>
          <w:p w14:paraId="012E380F">
            <w:pPr>
              <w:bidi w:val="0"/>
              <w:jc w:val="center"/>
              <w:rPr>
                <w:rFonts w:hint="eastAsia" w:ascii="宋体" w:hAnsi="宋体" w:eastAsia="宋体" w:cs="宋体"/>
                <w:sz w:val="21"/>
                <w:szCs w:val="21"/>
              </w:rPr>
            </w:pPr>
            <w:r>
              <w:rPr>
                <w:rFonts w:hint="eastAsia" w:ascii="宋体" w:hAnsi="宋体" w:eastAsia="宋体" w:cs="宋体"/>
                <w:sz w:val="21"/>
                <w:szCs w:val="21"/>
              </w:rPr>
              <w:t>不属于新设立企业，站址符合规划要求。</w:t>
            </w:r>
          </w:p>
        </w:tc>
        <w:tc>
          <w:tcPr>
            <w:tcW w:w="768" w:type="dxa"/>
            <w:tcBorders>
              <w:bottom w:val="single" w:color="000000" w:sz="2" w:space="0"/>
            </w:tcBorders>
            <w:vAlign w:val="center"/>
          </w:tcPr>
          <w:p w14:paraId="3F44E601">
            <w:pPr>
              <w:bidi w:val="0"/>
              <w:jc w:val="center"/>
              <w:rPr>
                <w:rFonts w:hint="eastAsia" w:ascii="宋体" w:hAnsi="宋体" w:eastAsia="宋体" w:cs="宋体"/>
                <w:sz w:val="21"/>
                <w:szCs w:val="21"/>
              </w:rPr>
            </w:pPr>
            <w:r>
              <w:rPr>
                <w:rFonts w:hint="eastAsia" w:ascii="宋体" w:hAnsi="宋体" w:eastAsia="宋体" w:cs="宋体"/>
                <w:sz w:val="21"/>
                <w:szCs w:val="21"/>
              </w:rPr>
              <w:t>不涉及</w:t>
            </w:r>
          </w:p>
        </w:tc>
      </w:tr>
      <w:tr w14:paraId="310EC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511" w:type="dxa"/>
            <w:vMerge w:val="continue"/>
            <w:tcBorders>
              <w:top w:val="single" w:color="000000" w:sz="2" w:space="0"/>
              <w:bottom w:val="single" w:color="000000" w:sz="2" w:space="0"/>
            </w:tcBorders>
            <w:vAlign w:val="center"/>
          </w:tcPr>
          <w:p w14:paraId="1B7B9613">
            <w:pPr>
              <w:bidi w:val="0"/>
              <w:rPr>
                <w:rFonts w:hint="eastAsia" w:ascii="宋体" w:hAnsi="宋体" w:eastAsia="宋体" w:cs="宋体"/>
                <w:sz w:val="21"/>
                <w:szCs w:val="21"/>
              </w:rPr>
            </w:pPr>
          </w:p>
        </w:tc>
        <w:tc>
          <w:tcPr>
            <w:tcW w:w="3618" w:type="dxa"/>
            <w:tcBorders>
              <w:top w:val="single" w:color="000000" w:sz="2" w:space="0"/>
              <w:bottom w:val="single" w:color="000000" w:sz="2" w:space="0"/>
            </w:tcBorders>
            <w:vAlign w:val="center"/>
          </w:tcPr>
          <w:p w14:paraId="3A7223C0">
            <w:pPr>
              <w:bidi w:val="0"/>
              <w:rPr>
                <w:rFonts w:hint="eastAsia" w:ascii="宋体" w:hAnsi="宋体" w:eastAsia="宋体" w:cs="宋体"/>
                <w:sz w:val="21"/>
                <w:szCs w:val="21"/>
              </w:rPr>
            </w:pPr>
            <w:r>
              <w:rPr>
                <w:rFonts w:hint="eastAsia" w:ascii="宋体" w:hAnsi="宋体" w:eastAsia="宋体" w:cs="宋体"/>
                <w:sz w:val="21"/>
                <w:szCs w:val="21"/>
              </w:rPr>
              <w:t>（二）储存设施与相关场所、设施、区域的距离符合有关法律、法规、规章和标准的规定；</w:t>
            </w:r>
          </w:p>
        </w:tc>
        <w:tc>
          <w:tcPr>
            <w:tcW w:w="1984" w:type="dxa"/>
            <w:vMerge w:val="continue"/>
            <w:tcBorders>
              <w:top w:val="single" w:color="000000" w:sz="2" w:space="0"/>
              <w:bottom w:val="single" w:color="000000" w:sz="2" w:space="0"/>
            </w:tcBorders>
            <w:vAlign w:val="center"/>
          </w:tcPr>
          <w:p w14:paraId="0E9886B3">
            <w:pPr>
              <w:bidi w:val="0"/>
              <w:rPr>
                <w:rFonts w:hint="eastAsia" w:ascii="宋体" w:hAnsi="宋体" w:eastAsia="宋体" w:cs="宋体"/>
                <w:sz w:val="21"/>
                <w:szCs w:val="21"/>
              </w:rPr>
            </w:pPr>
          </w:p>
        </w:tc>
        <w:tc>
          <w:tcPr>
            <w:tcW w:w="2309" w:type="dxa"/>
            <w:tcBorders>
              <w:top w:val="single" w:color="000000" w:sz="2" w:space="0"/>
              <w:bottom w:val="single" w:color="000000" w:sz="2" w:space="0"/>
            </w:tcBorders>
            <w:vAlign w:val="center"/>
          </w:tcPr>
          <w:p w14:paraId="0D540138">
            <w:pPr>
              <w:bidi w:val="0"/>
              <w:jc w:val="center"/>
              <w:rPr>
                <w:rFonts w:hint="eastAsia" w:ascii="宋体" w:hAnsi="宋体" w:eastAsia="宋体" w:cs="宋体"/>
                <w:sz w:val="21"/>
                <w:szCs w:val="21"/>
              </w:rPr>
            </w:pPr>
            <w:r>
              <w:rPr>
                <w:rFonts w:hint="eastAsia" w:ascii="宋体" w:hAnsi="宋体" w:eastAsia="宋体" w:cs="宋体"/>
                <w:sz w:val="21"/>
                <w:szCs w:val="21"/>
              </w:rPr>
              <w:t>罐区与周边设施的安全距离符合规定。</w:t>
            </w:r>
          </w:p>
        </w:tc>
        <w:tc>
          <w:tcPr>
            <w:tcW w:w="768" w:type="dxa"/>
            <w:tcBorders>
              <w:top w:val="single" w:color="000000" w:sz="2" w:space="0"/>
              <w:bottom w:val="single" w:color="000000" w:sz="2" w:space="0"/>
            </w:tcBorders>
            <w:vAlign w:val="center"/>
          </w:tcPr>
          <w:p w14:paraId="6C41CE64">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0F292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511" w:type="dxa"/>
            <w:vMerge w:val="continue"/>
            <w:tcBorders>
              <w:top w:val="single" w:color="000000" w:sz="2" w:space="0"/>
              <w:bottom w:val="single" w:color="000000" w:sz="2" w:space="0"/>
            </w:tcBorders>
            <w:vAlign w:val="center"/>
          </w:tcPr>
          <w:p w14:paraId="11FEE9CD">
            <w:pPr>
              <w:bidi w:val="0"/>
              <w:rPr>
                <w:rFonts w:hint="eastAsia" w:ascii="宋体" w:hAnsi="宋体" w:eastAsia="宋体" w:cs="宋体"/>
                <w:sz w:val="21"/>
                <w:szCs w:val="21"/>
              </w:rPr>
            </w:pPr>
          </w:p>
        </w:tc>
        <w:tc>
          <w:tcPr>
            <w:tcW w:w="3618" w:type="dxa"/>
            <w:tcBorders>
              <w:top w:val="single" w:color="000000" w:sz="2" w:space="0"/>
              <w:bottom w:val="single" w:color="000000" w:sz="2" w:space="0"/>
            </w:tcBorders>
            <w:vAlign w:val="center"/>
          </w:tcPr>
          <w:p w14:paraId="35041EFF">
            <w:pPr>
              <w:bidi w:val="0"/>
              <w:rPr>
                <w:rFonts w:hint="eastAsia" w:ascii="宋体" w:hAnsi="宋体" w:eastAsia="宋体" w:cs="宋体"/>
                <w:sz w:val="21"/>
                <w:szCs w:val="21"/>
              </w:rPr>
            </w:pPr>
            <w:r>
              <w:rPr>
                <w:rFonts w:hint="eastAsia" w:ascii="宋体" w:hAnsi="宋体" w:eastAsia="宋体" w:cs="宋体"/>
                <w:sz w:val="21"/>
                <w:szCs w:val="21"/>
              </w:rPr>
              <w:t>（三）依照有关规定进行安全评价，安全评价报告符合《危险化学品经营企业安全评价细则》的要求；</w:t>
            </w:r>
          </w:p>
        </w:tc>
        <w:tc>
          <w:tcPr>
            <w:tcW w:w="1984" w:type="dxa"/>
            <w:vMerge w:val="continue"/>
            <w:tcBorders>
              <w:top w:val="single" w:color="000000" w:sz="2" w:space="0"/>
              <w:bottom w:val="single" w:color="000000" w:sz="2" w:space="0"/>
            </w:tcBorders>
            <w:vAlign w:val="center"/>
          </w:tcPr>
          <w:p w14:paraId="324BAAD0">
            <w:pPr>
              <w:bidi w:val="0"/>
              <w:rPr>
                <w:rFonts w:hint="eastAsia" w:ascii="宋体" w:hAnsi="宋体" w:eastAsia="宋体" w:cs="宋体"/>
                <w:sz w:val="21"/>
                <w:szCs w:val="21"/>
              </w:rPr>
            </w:pPr>
          </w:p>
        </w:tc>
        <w:tc>
          <w:tcPr>
            <w:tcW w:w="2309" w:type="dxa"/>
            <w:tcBorders>
              <w:top w:val="single" w:color="000000" w:sz="2" w:space="0"/>
              <w:bottom w:val="single" w:color="000000" w:sz="2" w:space="0"/>
            </w:tcBorders>
            <w:vAlign w:val="center"/>
          </w:tcPr>
          <w:p w14:paraId="34B5FD23">
            <w:pPr>
              <w:bidi w:val="0"/>
              <w:jc w:val="center"/>
              <w:rPr>
                <w:rFonts w:hint="eastAsia" w:ascii="宋体" w:hAnsi="宋体" w:eastAsia="宋体" w:cs="宋体"/>
                <w:sz w:val="21"/>
                <w:szCs w:val="21"/>
              </w:rPr>
            </w:pPr>
            <w:r>
              <w:rPr>
                <w:rFonts w:hint="eastAsia" w:ascii="宋体" w:hAnsi="宋体" w:eastAsia="宋体" w:cs="宋体"/>
                <w:sz w:val="21"/>
                <w:szCs w:val="21"/>
              </w:rPr>
              <w:t>已委托评价机构进行安全评价。</w:t>
            </w:r>
          </w:p>
        </w:tc>
        <w:tc>
          <w:tcPr>
            <w:tcW w:w="768" w:type="dxa"/>
            <w:tcBorders>
              <w:top w:val="single" w:color="000000" w:sz="2" w:space="0"/>
              <w:bottom w:val="single" w:color="000000" w:sz="2" w:space="0"/>
            </w:tcBorders>
            <w:vAlign w:val="center"/>
          </w:tcPr>
          <w:p w14:paraId="7B541198">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18251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6" w:hRule="atLeast"/>
          <w:jc w:val="center"/>
        </w:trPr>
        <w:tc>
          <w:tcPr>
            <w:tcW w:w="511" w:type="dxa"/>
            <w:vMerge w:val="continue"/>
            <w:tcBorders>
              <w:top w:val="single" w:color="000000" w:sz="2" w:space="0"/>
              <w:bottom w:val="single" w:color="000000" w:sz="2" w:space="0"/>
            </w:tcBorders>
            <w:vAlign w:val="center"/>
          </w:tcPr>
          <w:p w14:paraId="20C541B1">
            <w:pPr>
              <w:bidi w:val="0"/>
              <w:rPr>
                <w:rFonts w:hint="eastAsia" w:ascii="宋体" w:hAnsi="宋体" w:eastAsia="宋体" w:cs="宋体"/>
                <w:sz w:val="21"/>
                <w:szCs w:val="21"/>
              </w:rPr>
            </w:pPr>
          </w:p>
        </w:tc>
        <w:tc>
          <w:tcPr>
            <w:tcW w:w="3618" w:type="dxa"/>
            <w:tcBorders>
              <w:top w:val="single" w:color="000000" w:sz="2" w:space="0"/>
              <w:bottom w:val="single" w:color="000000" w:sz="2" w:space="0"/>
            </w:tcBorders>
            <w:vAlign w:val="center"/>
          </w:tcPr>
          <w:p w14:paraId="55E3D4C7">
            <w:pPr>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（四）专职安全生产管理人员具备国民教育化工化学类或者安全工程类中等职业教育以上学历，或者化工化学类中级以上专业技术职称，或者危险物品安全类注册安全工程师资格；</w:t>
            </w:r>
          </w:p>
        </w:tc>
        <w:tc>
          <w:tcPr>
            <w:tcW w:w="1984" w:type="dxa"/>
            <w:vMerge w:val="continue"/>
            <w:tcBorders>
              <w:top w:val="single" w:color="000000" w:sz="2" w:space="0"/>
              <w:bottom w:val="single" w:color="000000" w:sz="2" w:space="0"/>
            </w:tcBorders>
            <w:vAlign w:val="center"/>
          </w:tcPr>
          <w:p w14:paraId="05DABF62">
            <w:pPr>
              <w:bidi w:val="0"/>
              <w:rPr>
                <w:rFonts w:hint="eastAsia" w:ascii="宋体" w:hAnsi="宋体" w:eastAsia="宋体" w:cs="宋体"/>
                <w:color w:val="000000" w:themeColor="text1"/>
                <w:sz w:val="21"/>
                <w:szCs w:val="21"/>
                <w14:textFill>
                  <w14:solidFill>
                    <w14:schemeClr w14:val="tx1"/>
                  </w14:solidFill>
                </w14:textFill>
              </w:rPr>
            </w:pPr>
          </w:p>
        </w:tc>
        <w:tc>
          <w:tcPr>
            <w:tcW w:w="2309" w:type="dxa"/>
            <w:tcBorders>
              <w:top w:val="single" w:color="000000" w:sz="2" w:space="0"/>
              <w:bottom w:val="single" w:color="000000" w:sz="2" w:space="0"/>
            </w:tcBorders>
            <w:vAlign w:val="center"/>
          </w:tcPr>
          <w:p w14:paraId="0293DC04">
            <w:pPr>
              <w:bidi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安全管理人员已培训取证。</w:t>
            </w:r>
          </w:p>
        </w:tc>
        <w:tc>
          <w:tcPr>
            <w:tcW w:w="768" w:type="dxa"/>
            <w:tcBorders>
              <w:top w:val="single" w:color="000000" w:sz="2" w:space="0"/>
              <w:bottom w:val="single" w:color="000000" w:sz="2" w:space="0"/>
            </w:tcBorders>
            <w:vAlign w:val="center"/>
          </w:tcPr>
          <w:p w14:paraId="53AD990D">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9344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511" w:type="dxa"/>
            <w:vMerge w:val="continue"/>
            <w:tcBorders>
              <w:top w:val="single" w:color="000000" w:sz="2" w:space="0"/>
              <w:bottom w:val="single" w:color="000000" w:sz="2" w:space="0"/>
            </w:tcBorders>
            <w:vAlign w:val="center"/>
          </w:tcPr>
          <w:p w14:paraId="2B01C8E1">
            <w:pPr>
              <w:bidi w:val="0"/>
              <w:rPr>
                <w:rFonts w:hint="eastAsia" w:ascii="宋体" w:hAnsi="宋体" w:eastAsia="宋体" w:cs="宋体"/>
                <w:sz w:val="21"/>
                <w:szCs w:val="21"/>
              </w:rPr>
            </w:pPr>
          </w:p>
        </w:tc>
        <w:tc>
          <w:tcPr>
            <w:tcW w:w="3618" w:type="dxa"/>
            <w:tcBorders>
              <w:top w:val="single" w:color="000000" w:sz="2" w:space="0"/>
              <w:bottom w:val="single" w:color="000000" w:sz="2" w:space="0"/>
            </w:tcBorders>
            <w:vAlign w:val="center"/>
          </w:tcPr>
          <w:p w14:paraId="0BEED275">
            <w:pPr>
              <w:bidi w:val="0"/>
              <w:rPr>
                <w:rFonts w:hint="eastAsia" w:ascii="宋体" w:hAnsi="宋体" w:eastAsia="宋体" w:cs="宋体"/>
                <w:sz w:val="21"/>
                <w:szCs w:val="21"/>
              </w:rPr>
            </w:pPr>
            <w:r>
              <w:rPr>
                <w:rFonts w:hint="eastAsia" w:ascii="宋体" w:hAnsi="宋体" w:eastAsia="宋体" w:cs="宋体"/>
                <w:sz w:val="21"/>
                <w:szCs w:val="21"/>
              </w:rPr>
              <w:t>（五）符合《危险化学品安全管理条例》《危险化学品重大危险源监督管理暂行规定》《常用危险化学品贮存通则》（GB15603）的相关规定。</w:t>
            </w:r>
          </w:p>
        </w:tc>
        <w:tc>
          <w:tcPr>
            <w:tcW w:w="1984" w:type="dxa"/>
            <w:vMerge w:val="continue"/>
            <w:tcBorders>
              <w:top w:val="single" w:color="000000" w:sz="2" w:space="0"/>
              <w:bottom w:val="single" w:color="000000" w:sz="2" w:space="0"/>
            </w:tcBorders>
            <w:vAlign w:val="center"/>
          </w:tcPr>
          <w:p w14:paraId="1CEB66DC">
            <w:pPr>
              <w:bidi w:val="0"/>
              <w:rPr>
                <w:rFonts w:hint="eastAsia" w:ascii="宋体" w:hAnsi="宋体" w:eastAsia="宋体" w:cs="宋体"/>
                <w:sz w:val="21"/>
                <w:szCs w:val="21"/>
              </w:rPr>
            </w:pPr>
          </w:p>
        </w:tc>
        <w:tc>
          <w:tcPr>
            <w:tcW w:w="2309" w:type="dxa"/>
            <w:tcBorders>
              <w:top w:val="single" w:color="000000" w:sz="2" w:space="0"/>
              <w:bottom w:val="single" w:color="000000" w:sz="2" w:space="0"/>
            </w:tcBorders>
            <w:vAlign w:val="center"/>
          </w:tcPr>
          <w:p w14:paraId="1C252666">
            <w:pPr>
              <w:bidi w:val="0"/>
              <w:jc w:val="center"/>
              <w:rPr>
                <w:rFonts w:hint="eastAsia" w:ascii="宋体" w:hAnsi="宋体" w:eastAsia="宋体" w:cs="宋体"/>
                <w:sz w:val="21"/>
                <w:szCs w:val="21"/>
              </w:rPr>
            </w:pPr>
            <w:r>
              <w:rPr>
                <w:rFonts w:hint="eastAsia" w:ascii="宋体" w:hAnsi="宋体" w:eastAsia="宋体" w:cs="宋体"/>
                <w:sz w:val="21"/>
                <w:szCs w:val="21"/>
              </w:rPr>
              <w:t>站址及设备设施、安全距离均符合GB50156等规定。</w:t>
            </w:r>
          </w:p>
        </w:tc>
        <w:tc>
          <w:tcPr>
            <w:tcW w:w="768" w:type="dxa"/>
            <w:tcBorders>
              <w:top w:val="single" w:color="000000" w:sz="2" w:space="0"/>
              <w:bottom w:val="single" w:color="000000" w:sz="2" w:space="0"/>
            </w:tcBorders>
            <w:vAlign w:val="center"/>
          </w:tcPr>
          <w:p w14:paraId="2EA2F6F4">
            <w:pPr>
              <w:bidi w:val="0"/>
              <w:jc w:val="center"/>
              <w:rPr>
                <w:rFonts w:hint="eastAsia" w:ascii="宋体" w:hAnsi="宋体" w:eastAsia="宋体" w:cs="宋体"/>
                <w:sz w:val="21"/>
                <w:szCs w:val="21"/>
              </w:rPr>
            </w:pPr>
          </w:p>
          <w:p w14:paraId="45CAB384">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7D60A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jc w:val="center"/>
        </w:trPr>
        <w:tc>
          <w:tcPr>
            <w:tcW w:w="511" w:type="dxa"/>
            <w:vMerge w:val="continue"/>
            <w:tcBorders>
              <w:top w:val="single" w:color="000000" w:sz="2" w:space="0"/>
            </w:tcBorders>
            <w:vAlign w:val="center"/>
          </w:tcPr>
          <w:p w14:paraId="2DE0020E">
            <w:pPr>
              <w:bidi w:val="0"/>
              <w:rPr>
                <w:rFonts w:hint="eastAsia" w:ascii="宋体" w:hAnsi="宋体" w:eastAsia="宋体" w:cs="宋体"/>
                <w:sz w:val="21"/>
                <w:szCs w:val="21"/>
              </w:rPr>
            </w:pPr>
          </w:p>
        </w:tc>
        <w:tc>
          <w:tcPr>
            <w:tcW w:w="3618" w:type="dxa"/>
            <w:tcBorders>
              <w:top w:val="single" w:color="000000" w:sz="2" w:space="0"/>
            </w:tcBorders>
            <w:vAlign w:val="center"/>
          </w:tcPr>
          <w:p w14:paraId="723E0D93">
            <w:pPr>
              <w:bidi w:val="0"/>
              <w:rPr>
                <w:rFonts w:hint="eastAsia" w:ascii="宋体" w:hAnsi="宋体" w:eastAsia="宋体" w:cs="宋体"/>
                <w:sz w:val="21"/>
                <w:szCs w:val="21"/>
              </w:rPr>
            </w:pPr>
            <w:r>
              <w:rPr>
                <w:rFonts w:hint="eastAsia" w:ascii="宋体" w:hAnsi="宋体" w:eastAsia="宋体" w:cs="宋体"/>
                <w:sz w:val="21"/>
                <w:szCs w:val="21"/>
              </w:rPr>
              <w:t>申请人储存易燃、易爆、有毒、易扩散危险化学品的，除符合本条第一款规定的条件外，还应当符合《石油化工可燃气体和有毒气体检测报警设计规范》（GB50493）的规定。</w:t>
            </w:r>
          </w:p>
        </w:tc>
        <w:tc>
          <w:tcPr>
            <w:tcW w:w="1984" w:type="dxa"/>
            <w:vMerge w:val="continue"/>
            <w:tcBorders>
              <w:top w:val="single" w:color="000000" w:sz="2" w:space="0"/>
            </w:tcBorders>
            <w:vAlign w:val="center"/>
          </w:tcPr>
          <w:p w14:paraId="7C047ADF">
            <w:pPr>
              <w:bidi w:val="0"/>
              <w:rPr>
                <w:rFonts w:hint="eastAsia" w:ascii="宋体" w:hAnsi="宋体" w:eastAsia="宋体" w:cs="宋体"/>
                <w:sz w:val="21"/>
                <w:szCs w:val="21"/>
              </w:rPr>
            </w:pPr>
          </w:p>
        </w:tc>
        <w:tc>
          <w:tcPr>
            <w:tcW w:w="2309" w:type="dxa"/>
            <w:tcBorders>
              <w:top w:val="single" w:color="000000" w:sz="2" w:space="0"/>
            </w:tcBorders>
            <w:vAlign w:val="center"/>
          </w:tcPr>
          <w:p w14:paraId="1C7A6793">
            <w:pPr>
              <w:bidi w:val="0"/>
              <w:jc w:val="center"/>
              <w:rPr>
                <w:rFonts w:hint="eastAsia" w:ascii="宋体" w:hAnsi="宋体" w:eastAsia="宋体" w:cs="宋体"/>
                <w:sz w:val="21"/>
                <w:szCs w:val="21"/>
              </w:rPr>
            </w:pPr>
            <w:r>
              <w:rPr>
                <w:rFonts w:hint="eastAsia" w:ascii="宋体" w:hAnsi="宋体" w:eastAsia="宋体" w:cs="宋体"/>
                <w:sz w:val="21"/>
                <w:szCs w:val="21"/>
              </w:rPr>
              <w:t>法兰已跨接，加油机电气设备采用防爆型，并已接地，符合GB50156等规范要求。</w:t>
            </w:r>
          </w:p>
        </w:tc>
        <w:tc>
          <w:tcPr>
            <w:tcW w:w="768" w:type="dxa"/>
            <w:tcBorders>
              <w:top w:val="single" w:color="000000" w:sz="2" w:space="0"/>
            </w:tcBorders>
            <w:vAlign w:val="center"/>
          </w:tcPr>
          <w:p w14:paraId="003FCD8C">
            <w:pPr>
              <w:bidi w:val="0"/>
              <w:jc w:val="both"/>
              <w:rPr>
                <w:rFonts w:hint="eastAsia" w:ascii="宋体" w:hAnsi="宋体" w:eastAsia="宋体" w:cs="宋体"/>
                <w:sz w:val="21"/>
                <w:szCs w:val="21"/>
              </w:rPr>
            </w:pPr>
          </w:p>
          <w:p w14:paraId="4CD52A37">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r w14:paraId="4964D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jc w:val="center"/>
        </w:trPr>
        <w:tc>
          <w:tcPr>
            <w:tcW w:w="511" w:type="dxa"/>
            <w:vAlign w:val="center"/>
          </w:tcPr>
          <w:p w14:paraId="3224B796">
            <w:pPr>
              <w:bidi w:val="0"/>
              <w:jc w:val="center"/>
              <w:rPr>
                <w:rFonts w:hint="eastAsia" w:ascii="宋体" w:hAnsi="宋体" w:eastAsia="宋体" w:cs="宋体"/>
                <w:sz w:val="21"/>
                <w:szCs w:val="21"/>
              </w:rPr>
            </w:pPr>
            <w:r>
              <w:rPr>
                <w:rFonts w:hint="eastAsia" w:ascii="宋体" w:hAnsi="宋体" w:eastAsia="宋体" w:cs="宋体"/>
                <w:sz w:val="21"/>
                <w:szCs w:val="21"/>
              </w:rPr>
              <w:t>3</w:t>
            </w:r>
          </w:p>
        </w:tc>
        <w:tc>
          <w:tcPr>
            <w:tcW w:w="3618" w:type="dxa"/>
            <w:vAlign w:val="center"/>
          </w:tcPr>
          <w:p w14:paraId="09EFABCD">
            <w:pPr>
              <w:bidi w:val="0"/>
              <w:rPr>
                <w:rFonts w:hint="eastAsia" w:ascii="宋体" w:hAnsi="宋体" w:eastAsia="宋体" w:cs="宋体"/>
                <w:sz w:val="21"/>
                <w:szCs w:val="21"/>
              </w:rPr>
            </w:pPr>
            <w:r>
              <w:rPr>
                <w:rFonts w:hint="eastAsia" w:ascii="宋体" w:hAnsi="宋体" w:eastAsia="宋体" w:cs="宋体"/>
                <w:sz w:val="21"/>
                <w:szCs w:val="21"/>
              </w:rPr>
              <w:t>提出危险化学品经营许可证延期申请的企业，安全生产标准化应达到三级。</w:t>
            </w:r>
          </w:p>
        </w:tc>
        <w:tc>
          <w:tcPr>
            <w:tcW w:w="1984" w:type="dxa"/>
            <w:vAlign w:val="center"/>
          </w:tcPr>
          <w:p w14:paraId="60DB5CFD">
            <w:pPr>
              <w:bidi w:val="0"/>
              <w:jc w:val="center"/>
              <w:rPr>
                <w:rFonts w:hint="eastAsia" w:ascii="宋体" w:hAnsi="宋体" w:eastAsia="宋体" w:cs="宋体"/>
                <w:sz w:val="21"/>
                <w:szCs w:val="21"/>
              </w:rPr>
            </w:pPr>
            <w:r>
              <w:rPr>
                <w:rFonts w:hint="eastAsia" w:ascii="宋体" w:hAnsi="宋体" w:eastAsia="宋体" w:cs="宋体"/>
                <w:sz w:val="21"/>
                <w:szCs w:val="21"/>
              </w:rPr>
              <w:t>《云南省安全生产监督管理局关于危险化学品经营行政许可有关事项的通知》（云安监管〔2013〕13号）第六条</w:t>
            </w:r>
          </w:p>
        </w:tc>
        <w:tc>
          <w:tcPr>
            <w:tcW w:w="2309" w:type="dxa"/>
            <w:vAlign w:val="center"/>
          </w:tcPr>
          <w:p w14:paraId="14B14F00">
            <w:pPr>
              <w:bidi w:val="0"/>
              <w:jc w:val="center"/>
              <w:rPr>
                <w:rFonts w:hint="eastAsia" w:ascii="宋体" w:hAnsi="宋体" w:eastAsia="宋体" w:cs="宋体"/>
                <w:sz w:val="21"/>
                <w:szCs w:val="21"/>
                <w:lang w:eastAsia="zh-CN"/>
              </w:rPr>
            </w:pPr>
            <w:r>
              <w:rPr>
                <w:rFonts w:hint="eastAsia" w:ascii="宋体" w:hAnsi="宋体" w:eastAsia="宋体" w:cs="宋体"/>
                <w:sz w:val="21"/>
                <w:szCs w:val="21"/>
              </w:rPr>
              <w:t>已开展安全生产标准化建设并</w:t>
            </w:r>
            <w:r>
              <w:rPr>
                <w:rFonts w:hint="eastAsia" w:ascii="宋体" w:hAnsi="宋体" w:eastAsia="宋体" w:cs="宋体"/>
                <w:sz w:val="21"/>
                <w:szCs w:val="21"/>
                <w:lang w:val="en-US" w:eastAsia="zh-CN"/>
              </w:rPr>
              <w:t>获证</w:t>
            </w:r>
          </w:p>
        </w:tc>
        <w:tc>
          <w:tcPr>
            <w:tcW w:w="768" w:type="dxa"/>
            <w:vAlign w:val="center"/>
          </w:tcPr>
          <w:p w14:paraId="4294F56E">
            <w:pPr>
              <w:bidi w:val="0"/>
              <w:jc w:val="center"/>
              <w:rPr>
                <w:rFonts w:hint="eastAsia" w:ascii="宋体" w:hAnsi="宋体" w:eastAsia="宋体" w:cs="宋体"/>
                <w:sz w:val="21"/>
                <w:szCs w:val="21"/>
              </w:rPr>
            </w:pPr>
            <w:r>
              <w:rPr>
                <w:rFonts w:hint="eastAsia" w:ascii="宋体" w:hAnsi="宋体" w:eastAsia="宋体" w:cs="宋体"/>
                <w:sz w:val="21"/>
                <w:szCs w:val="21"/>
              </w:rPr>
              <w:t>符合</w:t>
            </w:r>
          </w:p>
        </w:tc>
      </w:tr>
    </w:tbl>
    <w:p w14:paraId="6CBBF14B">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494" w:name="_Toc1952"/>
      <w:bookmarkStart w:id="495" w:name="_Toc421"/>
      <w:bookmarkStart w:id="496" w:name="_Toc27414"/>
      <w:bookmarkStart w:id="497" w:name="_Toc15774"/>
      <w:r>
        <w:rPr>
          <w:rFonts w:hint="eastAsia" w:ascii="宋体" w:hAnsi="宋体" w:eastAsia="宋体" w:cs="宋体"/>
          <w:b/>
          <w:color w:val="000000" w:themeColor="text1"/>
          <w:sz w:val="30"/>
          <w:szCs w:val="30"/>
          <w:lang w:val="en-US" w:eastAsia="zh-CN"/>
          <w14:textFill>
            <w14:solidFill>
              <w14:schemeClr w14:val="tx1"/>
            </w14:solidFill>
          </w14:textFill>
        </w:rPr>
        <w:t>7.5.3单元小节</w:t>
      </w:r>
      <w:bookmarkEnd w:id="494"/>
      <w:bookmarkEnd w:id="495"/>
      <w:bookmarkEnd w:id="496"/>
      <w:bookmarkEnd w:id="497"/>
    </w:p>
    <w:p w14:paraId="3B12C8B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上述安全检查评价，该加油站不存在重大生产安全事故隐患，其安全经营条件符合《危险化学品经营许可证管理办法》（国家安全生产监督管理总局令第55号）和《云南省安全生产监督管理局关于危险化学品经营行政许可有关事项的通知》（云安监管〔2013〕13号）的有关要求，具备危险化学品经营许可证延期换证的安全条件。</w:t>
      </w:r>
    </w:p>
    <w:p w14:paraId="25BBBC82">
      <w:pPr>
        <w:keepNext w:val="0"/>
        <w:keepLines w:val="0"/>
        <w:pageBreakBefore w:val="0"/>
        <w:widowControl w:val="0"/>
        <w:tabs>
          <w:tab w:val="left" w:pos="1006"/>
        </w:tabs>
        <w:kinsoku/>
        <w:wordWrap/>
        <w:overflowPunct/>
        <w:topLinePunct w:val="0"/>
        <w:autoSpaceDE/>
        <w:autoSpaceDN/>
        <w:bidi w:val="0"/>
        <w:adjustRightInd/>
        <w:snapToGrid/>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p>
    <w:p w14:paraId="4AB56299">
      <w:pPr>
        <w:keepNext w:val="0"/>
        <w:keepLines w:val="0"/>
        <w:pageBreakBefore w:val="0"/>
        <w:widowControl w:val="0"/>
        <w:tabs>
          <w:tab w:val="left" w:pos="1006"/>
        </w:tabs>
        <w:kinsoku/>
        <w:wordWrap/>
        <w:overflowPunct/>
        <w:topLinePunct w:val="0"/>
        <w:autoSpaceDE/>
        <w:autoSpaceDN/>
        <w:bidi w:val="0"/>
        <w:adjustRightInd/>
        <w:snapToGrid/>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p>
    <w:p w14:paraId="6ABB27FC">
      <w:pPr>
        <w:keepNext w:val="0"/>
        <w:keepLines w:val="0"/>
        <w:pageBreakBefore w:val="0"/>
        <w:widowControl w:val="0"/>
        <w:tabs>
          <w:tab w:val="left" w:pos="1006"/>
        </w:tabs>
        <w:kinsoku/>
        <w:wordWrap/>
        <w:overflowPunct/>
        <w:topLinePunct w:val="0"/>
        <w:autoSpaceDE/>
        <w:autoSpaceDN/>
        <w:bidi w:val="0"/>
        <w:adjustRightInd/>
        <w:snapToGrid/>
        <w:spacing w:line="600" w:lineRule="exact"/>
        <w:jc w:val="both"/>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p>
    <w:p w14:paraId="164C31E7">
      <w:pPr>
        <w:bidi w:val="0"/>
        <w:rPr>
          <w:rFonts w:hint="eastAsia" w:ascii="Times New Roman" w:hAnsi="Times New Roman" w:eastAsia="宋体" w:cs="Times New Roman"/>
          <w:kern w:val="2"/>
          <w:sz w:val="21"/>
          <w:szCs w:val="24"/>
          <w:lang w:val="en-US" w:eastAsia="zh-CN" w:bidi="ar-SA"/>
        </w:rPr>
      </w:pPr>
    </w:p>
    <w:p w14:paraId="30FF2230">
      <w:pPr>
        <w:bidi w:val="0"/>
        <w:rPr>
          <w:rFonts w:hint="eastAsia"/>
          <w:lang w:val="en-US" w:eastAsia="zh-CN"/>
        </w:rPr>
      </w:pPr>
    </w:p>
    <w:p w14:paraId="08651128">
      <w:pPr>
        <w:bidi w:val="0"/>
        <w:rPr>
          <w:rFonts w:hint="eastAsia"/>
          <w:lang w:val="en-US" w:eastAsia="zh-CN"/>
        </w:rPr>
      </w:pPr>
    </w:p>
    <w:p w14:paraId="50432A6D">
      <w:pPr>
        <w:bidi w:val="0"/>
        <w:rPr>
          <w:rFonts w:hint="eastAsia"/>
          <w:lang w:val="en-US" w:eastAsia="zh-CN"/>
        </w:rPr>
      </w:pPr>
    </w:p>
    <w:p w14:paraId="2D2AD22C">
      <w:pPr>
        <w:bidi w:val="0"/>
        <w:rPr>
          <w:rFonts w:hint="eastAsia"/>
          <w:lang w:val="en-US" w:eastAsia="zh-CN"/>
        </w:rPr>
      </w:pPr>
    </w:p>
    <w:p w14:paraId="33E9B5E1">
      <w:pPr>
        <w:tabs>
          <w:tab w:val="left" w:pos="1366"/>
        </w:tabs>
        <w:bidi w:val="0"/>
        <w:jc w:val="left"/>
        <w:rPr>
          <w:rFonts w:hint="eastAsia"/>
          <w:lang w:val="en-US" w:eastAsia="zh-CN"/>
        </w:rPr>
      </w:pPr>
      <w:r>
        <w:rPr>
          <w:rFonts w:hint="eastAsia"/>
          <w:lang w:val="en-US" w:eastAsia="zh-CN"/>
        </w:rPr>
        <w:tab/>
      </w:r>
    </w:p>
    <w:p w14:paraId="602E1622">
      <w:pPr>
        <w:tabs>
          <w:tab w:val="left" w:pos="1366"/>
        </w:tabs>
        <w:bidi w:val="0"/>
        <w:jc w:val="left"/>
        <w:rPr>
          <w:rFonts w:hint="eastAsia"/>
          <w:lang w:val="en-US" w:eastAsia="zh-CN"/>
        </w:rPr>
      </w:pPr>
    </w:p>
    <w:p w14:paraId="72E40D5E">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lang w:val="en-US" w:eastAsia="zh-CN"/>
        </w:rPr>
      </w:pPr>
      <w:bookmarkStart w:id="498" w:name="_Toc18453"/>
      <w:bookmarkStart w:id="499" w:name="_Toc16634"/>
      <w:bookmarkStart w:id="500" w:name="_Toc28241"/>
      <w:bookmarkStart w:id="501" w:name="_Toc3528"/>
      <w:r>
        <w:rPr>
          <w:rFonts w:hint="eastAsia" w:ascii="宋体" w:hAnsi="宋体" w:eastAsia="宋体" w:cs="宋体"/>
          <w:b/>
          <w:lang w:val="en-US" w:eastAsia="zh-CN"/>
        </w:rPr>
        <w:t>第8章存在问题与整改情况</w:t>
      </w:r>
      <w:bookmarkEnd w:id="498"/>
      <w:bookmarkEnd w:id="499"/>
      <w:bookmarkEnd w:id="500"/>
      <w:bookmarkEnd w:id="501"/>
    </w:p>
    <w:p w14:paraId="43900BD8">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02" w:name="_Toc17275"/>
      <w:bookmarkStart w:id="503" w:name="_Toc3771"/>
      <w:bookmarkStart w:id="504" w:name="_Toc25129"/>
      <w:bookmarkStart w:id="505" w:name="_Toc23014"/>
      <w:r>
        <w:rPr>
          <w:rFonts w:hint="eastAsia" w:ascii="宋体" w:hAnsi="宋体" w:eastAsia="宋体" w:cs="宋体"/>
          <w:b/>
          <w:smallCaps/>
          <w:color w:val="auto"/>
          <w:kern w:val="0"/>
          <w:szCs w:val="20"/>
          <w:lang w:val="en-US" w:eastAsia="zh-CN"/>
        </w:rPr>
        <w:t>8.1存在问题及整改要求</w:t>
      </w:r>
      <w:bookmarkEnd w:id="502"/>
      <w:bookmarkEnd w:id="503"/>
      <w:bookmarkEnd w:id="504"/>
      <w:bookmarkEnd w:id="505"/>
    </w:p>
    <w:p w14:paraId="26CDA51D">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06" w:name="_Toc2763"/>
      <w:bookmarkStart w:id="507" w:name="_Toc6027"/>
      <w:bookmarkStart w:id="508" w:name="_Toc21307"/>
      <w:bookmarkStart w:id="509" w:name="_Toc4833"/>
      <w:r>
        <w:rPr>
          <w:rFonts w:hint="eastAsia" w:ascii="宋体" w:hAnsi="宋体" w:eastAsia="宋体" w:cs="宋体"/>
          <w:b/>
          <w:color w:val="000000" w:themeColor="text1"/>
          <w:sz w:val="30"/>
          <w:szCs w:val="30"/>
          <w:lang w:val="en-US" w:eastAsia="zh-CN"/>
          <w14:textFill>
            <w14:solidFill>
              <w14:schemeClr w14:val="tx1"/>
            </w14:solidFill>
          </w14:textFill>
        </w:rPr>
        <w:t>8.1.1存在问题</w:t>
      </w:r>
      <w:bookmarkEnd w:id="506"/>
      <w:bookmarkEnd w:id="507"/>
      <w:bookmarkEnd w:id="508"/>
      <w:bookmarkEnd w:id="509"/>
    </w:p>
    <w:p w14:paraId="0B26E36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通过对</w:t>
      </w:r>
      <w:r>
        <w:rPr>
          <w:rFonts w:hint="eastAsia" w:ascii="宋体" w:hAnsi="宋体" w:cs="宋体"/>
          <w:snapToGrid/>
          <w:color w:val="000000" w:themeColor="text1"/>
          <w:kern w:val="0"/>
          <w:sz w:val="28"/>
          <w:szCs w:val="28"/>
          <w:lang w:val="en-US" w:eastAsia="zh-CN" w:bidi="ar-SA"/>
          <w14:textFill>
            <w14:solidFill>
              <w14:schemeClr w14:val="tx1"/>
            </w14:solidFill>
          </w14:textFill>
        </w:rPr>
        <w:t>宏源加油站</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现场进行检查，对该站危险、有害因素的辨识与分析，对该站的现场提出如下问题：</w:t>
      </w:r>
    </w:p>
    <w:p w14:paraId="0345301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cs="宋体"/>
          <w:snapToGrid/>
          <w:color w:val="000000" w:themeColor="text1"/>
          <w:kern w:val="0"/>
          <w:sz w:val="28"/>
          <w:szCs w:val="28"/>
          <w:lang w:val="en-US" w:eastAsia="zh-CN" w:bidi="ar-SA"/>
          <w14:textFill>
            <w14:solidFill>
              <w14:schemeClr w14:val="tx1"/>
            </w14:solidFill>
          </w14:textFill>
        </w:rPr>
      </w:pPr>
      <w:r>
        <w:rPr>
          <w:rFonts w:hint="eastAsia" w:ascii="宋体" w:hAnsi="宋体" w:cs="宋体"/>
          <w:snapToGrid/>
          <w:color w:val="000000" w:themeColor="text1"/>
          <w:kern w:val="0"/>
          <w:sz w:val="28"/>
          <w:szCs w:val="28"/>
          <w:lang w:val="en-US" w:eastAsia="zh-CN" w:bidi="ar-SA"/>
          <w14:textFill>
            <w14:solidFill>
              <w14:schemeClr w14:val="tx1"/>
            </w14:solidFill>
          </w14:textFill>
        </w:rPr>
        <w:t>1、卸油操作规程未更新；</w:t>
      </w:r>
    </w:p>
    <w:p w14:paraId="0D31DCA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cs="宋体"/>
          <w:b w:val="0"/>
          <w:bCs w:val="0"/>
          <w:sz w:val="28"/>
          <w:szCs w:val="28"/>
          <w:vertAlign w:val="baseline"/>
          <w:lang w:val="en-US" w:eastAsia="zh-CN"/>
        </w:rPr>
      </w:pPr>
      <w:r>
        <w:rPr>
          <w:rFonts w:hint="eastAsia" w:ascii="宋体" w:hAnsi="宋体" w:cs="宋体"/>
          <w:snapToGrid/>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b w:val="0"/>
          <w:bCs w:val="0"/>
          <w:sz w:val="28"/>
          <w:szCs w:val="28"/>
          <w:vertAlign w:val="baseline"/>
          <w:lang w:val="en-US" w:eastAsia="zh-CN"/>
        </w:rPr>
        <w:t>部分警示标牌破损</w:t>
      </w:r>
      <w:r>
        <w:rPr>
          <w:rFonts w:hint="eastAsia" w:ascii="宋体" w:hAnsi="宋体" w:cs="宋体"/>
          <w:b w:val="0"/>
          <w:bCs w:val="0"/>
          <w:sz w:val="28"/>
          <w:szCs w:val="28"/>
          <w:vertAlign w:val="baseline"/>
          <w:lang w:val="en-US" w:eastAsia="zh-CN"/>
        </w:rPr>
        <w:t>老化；</w:t>
      </w:r>
    </w:p>
    <w:p w14:paraId="24E1939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cs="宋体"/>
          <w:b w:val="0"/>
          <w:bCs w:val="0"/>
          <w:kern w:val="2"/>
          <w:sz w:val="28"/>
          <w:szCs w:val="28"/>
          <w:vertAlign w:val="baseline"/>
          <w:lang w:val="en-US" w:eastAsia="zh-CN" w:bidi="ar-SA"/>
        </w:rPr>
      </w:pPr>
      <w:r>
        <w:rPr>
          <w:rFonts w:hint="eastAsia" w:ascii="宋体" w:hAnsi="宋体" w:eastAsia="宋体" w:cs="宋体"/>
          <w:b w:val="0"/>
          <w:bCs w:val="0"/>
          <w:sz w:val="28"/>
          <w:szCs w:val="28"/>
          <w:vertAlign w:val="baseline"/>
          <w:lang w:val="en-US" w:eastAsia="zh-CN"/>
        </w:rPr>
        <w:t>3、防撞栏接地线脱落；</w:t>
      </w:r>
    </w:p>
    <w:p w14:paraId="28533F5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4、加油区灭火器点检卡记录显示每月检查一次，点检频次不足。</w:t>
      </w:r>
    </w:p>
    <w:p w14:paraId="43E1524E">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10" w:name="_Toc26398"/>
      <w:bookmarkStart w:id="511" w:name="_Toc19505"/>
      <w:bookmarkStart w:id="512" w:name="_Toc31958"/>
      <w:bookmarkStart w:id="513" w:name="_Toc20665"/>
      <w:r>
        <w:rPr>
          <w:rFonts w:hint="eastAsia" w:ascii="宋体" w:hAnsi="宋体" w:eastAsia="宋体" w:cs="宋体"/>
          <w:b/>
          <w:color w:val="000000" w:themeColor="text1"/>
          <w:sz w:val="30"/>
          <w:szCs w:val="30"/>
          <w:lang w:val="en-US" w:eastAsia="zh-CN"/>
          <w14:textFill>
            <w14:solidFill>
              <w14:schemeClr w14:val="tx1"/>
            </w14:solidFill>
          </w14:textFill>
        </w:rPr>
        <w:t>8.1.2整改要求</w:t>
      </w:r>
      <w:bookmarkEnd w:id="510"/>
      <w:bookmarkEnd w:id="511"/>
      <w:bookmarkEnd w:id="512"/>
      <w:bookmarkEnd w:id="513"/>
    </w:p>
    <w:p w14:paraId="3945863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针对以上存在的问题提出如下整改要求：</w:t>
      </w:r>
    </w:p>
    <w:p w14:paraId="1949C524">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600" w:lineRule="exact"/>
        <w:ind w:firstLine="560" w:firstLineChars="200"/>
        <w:jc w:val="left"/>
        <w:textAlignment w:val="auto"/>
        <w:rPr>
          <w:rFonts w:hint="eastAsia" w:ascii="宋体" w:hAnsi="宋体" w:eastAsia="宋体" w:cs="宋体"/>
          <w:i w:val="0"/>
          <w:iCs w:val="0"/>
          <w:caps w:val="0"/>
          <w:spacing w:val="0"/>
          <w:sz w:val="28"/>
          <w:szCs w:val="28"/>
          <w:shd w:val="clear" w:fill="FFFFFF"/>
          <w:lang w:val="en-US" w:eastAsia="zh-CN"/>
        </w:rPr>
      </w:pPr>
      <w:r>
        <w:rPr>
          <w:rFonts w:hint="eastAsia" w:ascii="宋体" w:hAnsi="宋体" w:eastAsia="宋体" w:cs="宋体"/>
          <w:i w:val="0"/>
          <w:iCs w:val="0"/>
          <w:caps w:val="0"/>
          <w:spacing w:val="0"/>
          <w:sz w:val="28"/>
          <w:szCs w:val="28"/>
          <w:shd w:val="clear" w:fill="FFFFFF"/>
          <w:lang w:val="en-US" w:eastAsia="zh-CN"/>
        </w:rPr>
        <w:t>1.</w:t>
      </w:r>
      <w:r>
        <w:rPr>
          <w:rFonts w:hint="eastAsia" w:ascii="宋体" w:hAnsi="宋体" w:eastAsia="宋体" w:cs="宋体"/>
          <w:i w:val="0"/>
          <w:iCs w:val="0"/>
          <w:caps w:val="0"/>
          <w:spacing w:val="0"/>
          <w:sz w:val="28"/>
          <w:szCs w:val="28"/>
          <w:shd w:val="clear" w:fill="FFFFFF"/>
        </w:rPr>
        <w:t>对照最新国家标准、行业规范及企业实际设备，逐项梳理旧版规程中与现行要求不符的条款</w:t>
      </w:r>
      <w:r>
        <w:rPr>
          <w:rFonts w:hint="eastAsia" w:ascii="宋体" w:hAnsi="宋体" w:eastAsia="宋体" w:cs="宋体"/>
          <w:i w:val="0"/>
          <w:iCs w:val="0"/>
          <w:caps w:val="0"/>
          <w:spacing w:val="0"/>
          <w:sz w:val="28"/>
          <w:szCs w:val="28"/>
          <w:shd w:val="clear" w:fill="FFFFFF"/>
          <w:lang w:val="en-US" w:eastAsia="zh-CN"/>
        </w:rPr>
        <w:t>,制定出新的操作规程。</w:t>
      </w:r>
    </w:p>
    <w:p w14:paraId="2D507F7C">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i w:val="0"/>
          <w:iCs w:val="0"/>
          <w:caps w:val="0"/>
          <w:spacing w:val="0"/>
          <w:sz w:val="28"/>
          <w:szCs w:val="28"/>
          <w:shd w:val="clear" w:fill="FFFFFF"/>
          <w:lang w:val="en-US" w:eastAsia="zh-CN"/>
        </w:rPr>
        <w:t>2.</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定制符合国家安全标准的新警示标牌，对所有老化破损标牌的更换工作。</w:t>
      </w:r>
    </w:p>
    <w:p w14:paraId="4645AA90">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3.恢复防撞栏接地线。</w:t>
      </w:r>
    </w:p>
    <w:p w14:paraId="123D7E1D">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4.根据《建筑灭火器配置验收及检查规范》（GB50444 - 2008）每半月进行一次检查</w:t>
      </w:r>
      <w:r>
        <w:rPr>
          <w:rFonts w:hint="eastAsia" w:ascii="宋体" w:hAnsi="宋体" w:cs="宋体"/>
          <w:snapToGrid/>
          <w:color w:val="000000" w:themeColor="text1"/>
          <w:kern w:val="0"/>
          <w:sz w:val="28"/>
          <w:szCs w:val="28"/>
          <w:lang w:val="en-US" w:eastAsia="zh-CN" w:bidi="ar-SA"/>
          <w14:textFill>
            <w14:solidFill>
              <w14:schemeClr w14:val="tx1"/>
            </w14:solidFill>
          </w14:textFill>
        </w:rPr>
        <w:t>。</w:t>
      </w:r>
    </w:p>
    <w:p w14:paraId="20F24A26">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14" w:name="_Toc8445"/>
      <w:bookmarkStart w:id="515" w:name="_Toc11564"/>
      <w:bookmarkStart w:id="516" w:name="_Toc3060"/>
      <w:bookmarkStart w:id="517" w:name="_Toc4640"/>
      <w:r>
        <w:rPr>
          <w:rFonts w:hint="eastAsia" w:ascii="宋体" w:hAnsi="宋体" w:eastAsia="宋体" w:cs="宋体"/>
          <w:b/>
          <w:smallCaps/>
          <w:color w:val="auto"/>
          <w:kern w:val="0"/>
          <w:szCs w:val="20"/>
          <w:lang w:val="en-US" w:eastAsia="zh-CN"/>
        </w:rPr>
        <w:t>8.2隐患整改情况</w:t>
      </w:r>
      <w:bookmarkEnd w:id="514"/>
      <w:bookmarkEnd w:id="515"/>
      <w:bookmarkEnd w:id="516"/>
      <w:bookmarkEnd w:id="517"/>
    </w:p>
    <w:p w14:paraId="3BC609D9">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本评价组通过对宏源加油站现场勘查分析，对该站存在的主要安全隐患及问题，提出了整改要求后，该加油站已按要求，对存在的问题作出整改，</w:t>
      </w:r>
      <w:r>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t>具体见附件2</w:t>
      </w:r>
      <w:r>
        <w:rPr>
          <w:rFonts w:hint="eastAsia" w:ascii="宋体" w:hAnsi="宋体" w:cs="宋体"/>
          <w:snapToGrid/>
          <w:color w:val="000000" w:themeColor="text1"/>
          <w:kern w:val="0"/>
          <w:sz w:val="28"/>
          <w:szCs w:val="28"/>
          <w:shd w:val="clear" w:color="auto" w:fill="auto"/>
          <w:lang w:val="en-US" w:eastAsia="zh-CN" w:bidi="ar-SA"/>
          <w14:textFill>
            <w14:solidFill>
              <w14:schemeClr w14:val="tx1"/>
            </w14:solidFill>
          </w14:textFill>
        </w:rPr>
        <w:t>3</w:t>
      </w:r>
      <w:r>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t>。</w:t>
      </w:r>
      <w:bookmarkStart w:id="518" w:name="_Toc5259"/>
      <w:bookmarkStart w:id="519" w:name="_Toc5627"/>
    </w:p>
    <w:p w14:paraId="07094380">
      <w:pPr>
        <w:keepNext w:val="0"/>
        <w:keepLines w:val="0"/>
        <w:pageBreakBefore w:val="0"/>
        <w:widowControl w:val="0"/>
        <w:kinsoku/>
        <w:wordWrap/>
        <w:overflowPunct/>
        <w:topLinePunct w:val="0"/>
        <w:autoSpaceDE/>
        <w:autoSpaceDN/>
        <w:bidi w:val="0"/>
        <w:adjustRightInd w:val="0"/>
        <w:snapToGrid w:val="0"/>
        <w:spacing w:line="600" w:lineRule="exact"/>
        <w:ind w:firstLine="883" w:firstLineChars="200"/>
        <w:jc w:val="center"/>
        <w:textAlignment w:val="auto"/>
        <w:rPr>
          <w:rFonts w:hint="eastAsia" w:ascii="宋体" w:hAnsi="宋体" w:eastAsia="宋体" w:cs="宋体"/>
          <w:b/>
          <w:sz w:val="44"/>
          <w:szCs w:val="44"/>
          <w:lang w:val="en-US" w:eastAsia="zh-CN"/>
        </w:rPr>
      </w:pPr>
    </w:p>
    <w:p w14:paraId="45861DAD">
      <w:pPr>
        <w:keepNext w:val="0"/>
        <w:keepLines w:val="0"/>
        <w:pageBreakBefore w:val="0"/>
        <w:widowControl w:val="0"/>
        <w:kinsoku/>
        <w:wordWrap/>
        <w:overflowPunct/>
        <w:topLinePunct w:val="0"/>
        <w:autoSpaceDE/>
        <w:autoSpaceDN/>
        <w:bidi w:val="0"/>
        <w:adjustRightInd w:val="0"/>
        <w:snapToGrid w:val="0"/>
        <w:spacing w:line="600" w:lineRule="exact"/>
        <w:ind w:firstLine="883" w:firstLineChars="200"/>
        <w:jc w:val="center"/>
        <w:textAlignment w:val="auto"/>
        <w:rPr>
          <w:rFonts w:hint="eastAsia" w:ascii="宋体" w:hAnsi="宋体" w:eastAsia="宋体" w:cs="宋体"/>
          <w:b/>
          <w:sz w:val="44"/>
          <w:szCs w:val="44"/>
          <w:lang w:val="en-US" w:eastAsia="zh-CN"/>
        </w:rPr>
      </w:pPr>
    </w:p>
    <w:p w14:paraId="00DBA594">
      <w:pPr>
        <w:keepNext w:val="0"/>
        <w:keepLines w:val="0"/>
        <w:pageBreakBefore w:val="0"/>
        <w:widowControl w:val="0"/>
        <w:kinsoku/>
        <w:wordWrap/>
        <w:overflowPunct/>
        <w:topLinePunct w:val="0"/>
        <w:autoSpaceDE/>
        <w:autoSpaceDN/>
        <w:bidi w:val="0"/>
        <w:adjustRightInd w:val="0"/>
        <w:snapToGrid w:val="0"/>
        <w:spacing w:line="600" w:lineRule="exact"/>
        <w:ind w:firstLine="883" w:firstLineChars="200"/>
        <w:jc w:val="center"/>
        <w:textAlignment w:val="auto"/>
        <w:outlineLvl w:val="0"/>
        <w:rPr>
          <w:rFonts w:hint="eastAsia" w:ascii="宋体" w:hAnsi="宋体" w:eastAsia="宋体" w:cs="宋体"/>
          <w:b/>
          <w:sz w:val="44"/>
          <w:szCs w:val="44"/>
          <w:lang w:val="en-US" w:eastAsia="zh-CN"/>
        </w:rPr>
      </w:pPr>
      <w:bookmarkStart w:id="520" w:name="_Toc23624"/>
      <w:r>
        <w:rPr>
          <w:rFonts w:hint="eastAsia" w:ascii="宋体" w:hAnsi="宋体" w:eastAsia="宋体" w:cs="宋体"/>
          <w:b/>
          <w:sz w:val="44"/>
          <w:szCs w:val="44"/>
          <w:lang w:val="en-US" w:eastAsia="zh-CN"/>
        </w:rPr>
        <w:t>第9章补充安全对策措施建议</w:t>
      </w:r>
      <w:bookmarkEnd w:id="518"/>
      <w:bookmarkEnd w:id="519"/>
      <w:bookmarkEnd w:id="520"/>
    </w:p>
    <w:p w14:paraId="50F674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本章安全对策措施及建议分为管理方面的措施及建议、技术方面的措施</w:t>
      </w:r>
    </w:p>
    <w:p w14:paraId="214C46F0">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b/>
          <w:sz w:val="28"/>
          <w:szCs w:val="28"/>
          <w:lang w:val="en-US" w:eastAsia="zh-CN"/>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及建议和针对主要危险、有害因素提出的措施及建议等部分。</w:t>
      </w:r>
    </w:p>
    <w:p w14:paraId="45F8D3B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21" w:name="_Toc16422"/>
      <w:bookmarkStart w:id="522" w:name="_Toc18770"/>
      <w:bookmarkStart w:id="523" w:name="_Toc1439"/>
      <w:bookmarkStart w:id="524" w:name="_Toc15081"/>
      <w:r>
        <w:rPr>
          <w:rFonts w:hint="eastAsia" w:ascii="宋体" w:hAnsi="宋体" w:eastAsia="宋体" w:cs="宋体"/>
          <w:b/>
          <w:smallCaps/>
          <w:color w:val="auto"/>
          <w:kern w:val="0"/>
          <w:szCs w:val="20"/>
          <w:lang w:val="en-US" w:eastAsia="zh-CN"/>
        </w:rPr>
        <w:t>9.1管理方面的措施及建议</w:t>
      </w:r>
      <w:bookmarkEnd w:id="521"/>
      <w:bookmarkEnd w:id="522"/>
      <w:bookmarkEnd w:id="523"/>
      <w:bookmarkEnd w:id="524"/>
    </w:p>
    <w:p w14:paraId="15E5985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仍须认真学习《中华人民共和国安全生产法》及《危险化学品安全管理条例》等法律、法规，在职工中牢固树立“安全第一、预防为主、综合治理”的思想，加强员工安全教育培训，并在工作中严格执行加油站各项规章</w:t>
      </w:r>
    </w:p>
    <w:p w14:paraId="63F69D2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制度，涉危人员应全员培训、持证上岗。</w:t>
      </w:r>
    </w:p>
    <w:p w14:paraId="5B32911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2.仍须对重点岗位每天检查一次，每月组织一次消防安全检查。对已查出的各类隐患和不安全因素应及时整改；对一时不能解决的，要制定安全可靠的防范措施。</w:t>
      </w:r>
    </w:p>
    <w:p w14:paraId="16607B2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3.根据加油站的实际情况制定出切实可行的消防制度，每年组织一次消防模拟演习。使每个职工都会熟练使用消防器材，对扑灭初期火灾有重要作用。</w:t>
      </w:r>
    </w:p>
    <w:p w14:paraId="197FA56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该加油站应不断完善应急预案，并认真做好应急准备和应急救援演练。同时，必须认真培训好应急救援人员，加强应急救援人员的应急救援能力。建议该站与邻近的消防队及其他应急救援组织签订应急互救协议，一旦发生事故，站内应急救援队伍无法处理事故时，可尽快请求邻近应急救援组织帮助，尽快处理好事故，防止事故扩大，减低事故损失。</w:t>
      </w:r>
    </w:p>
    <w:p w14:paraId="41F2E77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5.严格管理，卸油时杜绝用胶管喷溅式卸油的行为，必须采用密闭卸油的方式卸油；必须杜绝用油枪直接向塑料瓶或其他易产生静电容器中加油的现象。必须杜绝厨房内使用明火燃具。</w:t>
      </w:r>
    </w:p>
    <w:p w14:paraId="5A1A610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6.加油站应按照规范要求设置禁火区域，加油站入口设置进站安全须知</w:t>
      </w:r>
    </w:p>
    <w:p w14:paraId="1C54A5FF">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告知牌。</w:t>
      </w:r>
    </w:p>
    <w:p w14:paraId="3E2601A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7.加油站应加强加油区、储罐区的安全管理，加强加油、卸油时安全监</w:t>
      </w:r>
    </w:p>
    <w:p w14:paraId="1BD29343">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护、监管；完善油品管道连接处防静电设施；完善安全警示标志。</w:t>
      </w:r>
    </w:p>
    <w:p w14:paraId="33ABB98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8.加油站应按规范配置并定期发放劳动用品，并定期发放。</w:t>
      </w:r>
    </w:p>
    <w:p w14:paraId="1F529D9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9.加油站应不断完善加油站的经营台账和安全管理台账。</w:t>
      </w:r>
    </w:p>
    <w:p w14:paraId="28C31FA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10.加油站应按《生产经营单位生产安全事故应急预案编制导则》完善加油站的应急预案，并定期组织应急预案培训及演练。</w:t>
      </w:r>
    </w:p>
    <w:p w14:paraId="12E823A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11.加油站应做到每日对油罐进行安全检查。</w:t>
      </w:r>
    </w:p>
    <w:p w14:paraId="1E38738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12.加油站应做到对防雷防静电装置定期检测，并保证合格有效。</w:t>
      </w:r>
    </w:p>
    <w:p w14:paraId="6025D59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13.加油站应不断完善加油站的日常经营活动过程现场的安全管理，必须严格执行安全作业规程。</w:t>
      </w:r>
    </w:p>
    <w:p w14:paraId="4A03473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14.该加油站应按照《企业安全生产费用提取和使用管理办法》（财资〔2022〕136号）的要求，进行安全生产投入，并独立核算。</w:t>
      </w:r>
    </w:p>
    <w:p w14:paraId="4D02E04B">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560" w:firstLineChars="200"/>
        <w:textAlignment w:val="auto"/>
        <w:outlineLvl w:val="9"/>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15.加油站安全标准化应每年进行一次自评。</w:t>
      </w:r>
    </w:p>
    <w:p w14:paraId="5C955533">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25" w:name="_Toc24106"/>
      <w:bookmarkStart w:id="526" w:name="_Toc26501"/>
      <w:bookmarkStart w:id="527" w:name="_Toc28455"/>
      <w:bookmarkStart w:id="528" w:name="_Toc30628"/>
      <w:r>
        <w:rPr>
          <w:rFonts w:hint="eastAsia" w:ascii="宋体" w:hAnsi="宋体" w:eastAsia="宋体" w:cs="宋体"/>
          <w:b/>
          <w:smallCaps/>
          <w:color w:val="auto"/>
          <w:kern w:val="0"/>
          <w:szCs w:val="20"/>
          <w:lang w:val="en-US" w:eastAsia="zh-CN"/>
        </w:rPr>
        <w:t>9.2技术方面的措施及建议</w:t>
      </w:r>
      <w:bookmarkEnd w:id="525"/>
      <w:bookmarkEnd w:id="526"/>
      <w:bookmarkEnd w:id="527"/>
      <w:bookmarkEnd w:id="528"/>
    </w:p>
    <w:p w14:paraId="662DCAD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1.要经常检查避雷装置安装连接情况，发现有影响避雷装置的松脱、断裂现象，要及时修复。</w:t>
      </w:r>
    </w:p>
    <w:p w14:paraId="1C8B6B5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2.加油设备、油罐及油管线应经常检查，以防油品跑、冒、滴、漏。</w:t>
      </w:r>
    </w:p>
    <w:p w14:paraId="6AAC8B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3.整个加油站的操作必须严格按卸油操作规程及相关要求进行。油罐车</w:t>
      </w:r>
    </w:p>
    <w:p w14:paraId="32E2B3E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卸油必须采用密闭卸油方式。</w:t>
      </w:r>
    </w:p>
    <w:p w14:paraId="568535E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4.加油站检修时应聘请有相关检修作业证的人员进行，请有资质的维修</w:t>
      </w:r>
    </w:p>
    <w:p w14:paraId="53A3BD8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单位检修。</w:t>
      </w:r>
    </w:p>
    <w:p w14:paraId="1CAF00A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5.加油站应在日常经营活动过程中注意避免油罐区内蓄水，造成油罐浮</w:t>
      </w:r>
    </w:p>
    <w:p w14:paraId="1024430D">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罐的发生。</w:t>
      </w:r>
    </w:p>
    <w:p w14:paraId="3D3702B3">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560" w:firstLineChars="200"/>
        <w:textAlignment w:val="auto"/>
        <w:outlineLvl w:val="9"/>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6.加油站卸油时需严格依据卸油操作规程进行作业。</w:t>
      </w:r>
    </w:p>
    <w:p w14:paraId="4A19CF8F">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29" w:name="_Toc3009"/>
      <w:bookmarkStart w:id="530" w:name="_Toc6480"/>
      <w:bookmarkStart w:id="531" w:name="_Toc17130"/>
      <w:bookmarkStart w:id="532" w:name="_Toc27292"/>
      <w:r>
        <w:rPr>
          <w:rFonts w:hint="eastAsia" w:ascii="宋体" w:hAnsi="宋体" w:eastAsia="宋体" w:cs="宋体"/>
          <w:b/>
          <w:smallCaps/>
          <w:color w:val="auto"/>
          <w:kern w:val="0"/>
          <w:szCs w:val="20"/>
          <w:lang w:val="en-US" w:eastAsia="zh-CN"/>
        </w:rPr>
        <w:t>9.3针对主要危险有害因素提出的措施及建议</w:t>
      </w:r>
      <w:bookmarkEnd w:id="529"/>
      <w:bookmarkEnd w:id="530"/>
      <w:bookmarkEnd w:id="531"/>
      <w:bookmarkEnd w:id="532"/>
    </w:p>
    <w:p w14:paraId="4D33655C">
      <w:pPr>
        <w:pStyle w:val="4"/>
        <w:keepNext/>
        <w:keepLines/>
        <w:pageBreakBefore w:val="0"/>
        <w:widowControl w:val="0"/>
        <w:kinsoku/>
        <w:wordWrap/>
        <w:overflowPunct/>
        <w:topLinePunct w:val="0"/>
        <w:autoSpaceDE/>
        <w:autoSpaceDN/>
        <w:bidi w:val="0"/>
        <w:adjustRightInd/>
        <w:snapToGrid/>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33" w:name="_Toc32686"/>
      <w:bookmarkStart w:id="534" w:name="_Toc27083"/>
      <w:bookmarkStart w:id="535" w:name="_Toc15306"/>
      <w:bookmarkStart w:id="536" w:name="_Toc15556"/>
      <w:r>
        <w:rPr>
          <w:rFonts w:hint="eastAsia" w:ascii="宋体" w:hAnsi="宋体" w:eastAsia="宋体" w:cs="宋体"/>
          <w:b/>
          <w:color w:val="000000" w:themeColor="text1"/>
          <w:sz w:val="30"/>
          <w:szCs w:val="30"/>
          <w:lang w:val="en-US" w:eastAsia="zh-CN"/>
          <w14:textFill>
            <w14:solidFill>
              <w14:schemeClr w14:val="tx1"/>
            </w14:solidFill>
          </w14:textFill>
        </w:rPr>
        <w:t>9.3.1防止火灾、爆炸的措施及建议</w:t>
      </w:r>
      <w:bookmarkEnd w:id="533"/>
      <w:bookmarkEnd w:id="534"/>
      <w:bookmarkEnd w:id="535"/>
      <w:bookmarkEnd w:id="536"/>
    </w:p>
    <w:p w14:paraId="7CCF010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1.控制与消除火源</w:t>
      </w:r>
    </w:p>
    <w:p w14:paraId="7FBF500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（1）严禁吸烟、携带火种、穿带钉皮鞋等进入易燃易爆区；</w:t>
      </w:r>
    </w:p>
    <w:p w14:paraId="5E1AA10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（2）动火必须严格按动火手续办理动火证，并采取有效防范措施；</w:t>
      </w:r>
    </w:p>
    <w:p w14:paraId="6092948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（3）使用防爆型电器，如防爆手电、安全电压（12V）和防爆灯；</w:t>
      </w:r>
    </w:p>
    <w:p w14:paraId="2B61F9D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（4）维修设备使用铜制或镀铜工具，严禁用钢质工具敲打、撞击、抛掷；</w:t>
      </w:r>
    </w:p>
    <w:p w14:paraId="6E542EE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（5）转动设备部位要保持清洁，防止因摩擦引起杂物燃烧。</w:t>
      </w:r>
    </w:p>
    <w:p w14:paraId="32A31C8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2.仍须严把设施、设备质量关</w:t>
      </w:r>
    </w:p>
    <w:p w14:paraId="2B699D1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（1）罐、泵、阀、管线等设备及其配套仪表要选用合格产品，并把好检修质量关；</w:t>
      </w:r>
    </w:p>
    <w:p w14:paraId="2685ACB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（2）管道等有关设施在检修后按要求进行试压；</w:t>
      </w:r>
    </w:p>
    <w:p w14:paraId="3664A7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（3）仍须对设备、管线、泵、阀、仪表等要定期检查、保养、维修，保持完好状态；</w:t>
      </w:r>
    </w:p>
    <w:p w14:paraId="0CF3599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（4）仍须按规定要求，在易燃易爆场所选用防爆电气设备；</w:t>
      </w:r>
    </w:p>
    <w:p w14:paraId="25F2ED5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（5）仍须按规定要求安装电气线路，并定期进行检查、维修、保养，保持完好状态；</w:t>
      </w:r>
    </w:p>
    <w:p w14:paraId="690E0D4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（6）仍须配齐安全设施和消防设施等，并保持完好。</w:t>
      </w:r>
    </w:p>
    <w:p w14:paraId="3C32DE24">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37" w:name="_Toc5763"/>
      <w:bookmarkStart w:id="538" w:name="_Toc4806"/>
      <w:bookmarkStart w:id="539" w:name="_Toc316"/>
      <w:bookmarkStart w:id="540" w:name="_Toc12947"/>
      <w:r>
        <w:rPr>
          <w:rFonts w:hint="eastAsia" w:ascii="宋体" w:hAnsi="宋体" w:eastAsia="宋体" w:cs="宋体"/>
          <w:b/>
          <w:color w:val="000000" w:themeColor="text1"/>
          <w:sz w:val="30"/>
          <w:szCs w:val="30"/>
          <w:lang w:val="en-US" w:eastAsia="zh-CN"/>
          <w14:textFill>
            <w14:solidFill>
              <w14:schemeClr w14:val="tx1"/>
            </w14:solidFill>
          </w14:textFill>
        </w:rPr>
        <w:t>9.3.2防止触电及电器火灾的措施及建议</w:t>
      </w:r>
      <w:bookmarkEnd w:id="537"/>
      <w:bookmarkEnd w:id="538"/>
      <w:bookmarkEnd w:id="539"/>
      <w:bookmarkEnd w:id="540"/>
    </w:p>
    <w:p w14:paraId="438D0A7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1.检修作业时，应采用12V电气照明设备，并要有现场监护；</w:t>
      </w:r>
    </w:p>
    <w:p w14:paraId="6C6A8B9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2.根据作业场所要求正确选择Ⅰ、Ⅱ、Ⅲ类手持电动工具，做到安全可靠；</w:t>
      </w:r>
    </w:p>
    <w:p w14:paraId="7B6D461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3.须对职工进行电气安全培训教育，定期进行电气安全检查，杜绝“三违”（违章指挥、违章作业、违反劳动纪律）的行为；</w:t>
      </w:r>
    </w:p>
    <w:p w14:paraId="725BE6C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4.须对防雷装置进行定期检查、检测，保持完好状态；</w:t>
      </w:r>
    </w:p>
    <w:p w14:paraId="1120A21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5.须做好配电室、电气线路和电气设备临时用电的管理。</w:t>
      </w:r>
    </w:p>
    <w:p w14:paraId="7464B76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 w:val="32"/>
          <w:szCs w:val="32"/>
          <w:lang w:val="en-US" w:eastAsia="zh-CN"/>
        </w:rPr>
      </w:pPr>
      <w:bookmarkStart w:id="541" w:name="_Toc25629"/>
      <w:bookmarkStart w:id="542" w:name="_Toc6810"/>
      <w:bookmarkStart w:id="543" w:name="_Toc13459"/>
      <w:bookmarkStart w:id="544" w:name="_Toc13449"/>
      <w:r>
        <w:rPr>
          <w:rFonts w:hint="eastAsia" w:ascii="宋体" w:hAnsi="宋体" w:eastAsia="宋体" w:cs="宋体"/>
          <w:b/>
          <w:smallCaps/>
          <w:color w:val="auto"/>
          <w:kern w:val="0"/>
          <w:sz w:val="32"/>
          <w:szCs w:val="32"/>
          <w:lang w:val="en-US" w:eastAsia="zh-CN"/>
        </w:rPr>
        <w:t>9.4典型事故预防和应急处理措施</w:t>
      </w:r>
      <w:bookmarkEnd w:id="541"/>
      <w:bookmarkEnd w:id="542"/>
      <w:bookmarkEnd w:id="543"/>
      <w:bookmarkEnd w:id="544"/>
    </w:p>
    <w:p w14:paraId="0ABA2FF7">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45" w:name="_Toc10656"/>
      <w:bookmarkStart w:id="546" w:name="_Toc17593"/>
      <w:bookmarkStart w:id="547" w:name="_Toc6035"/>
      <w:bookmarkStart w:id="548" w:name="_Toc17578"/>
      <w:r>
        <w:rPr>
          <w:rFonts w:hint="eastAsia" w:ascii="宋体" w:hAnsi="宋体" w:eastAsia="宋体" w:cs="宋体"/>
          <w:b/>
          <w:color w:val="000000" w:themeColor="text1"/>
          <w:sz w:val="30"/>
          <w:szCs w:val="30"/>
          <w:lang w:val="en-US" w:eastAsia="zh-CN"/>
          <w14:textFill>
            <w14:solidFill>
              <w14:schemeClr w14:val="tx1"/>
            </w14:solidFill>
          </w14:textFill>
        </w:rPr>
        <w:t>9.4.1防漏油事故</w:t>
      </w:r>
      <w:bookmarkEnd w:id="545"/>
      <w:bookmarkEnd w:id="546"/>
      <w:bookmarkEnd w:id="547"/>
      <w:bookmarkEnd w:id="548"/>
    </w:p>
    <w:p w14:paraId="7A66C93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1.防油箱溢油</w:t>
      </w:r>
    </w:p>
    <w:p w14:paraId="263B76D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机械式计量加油机同时配普通加油枪的加油作业中，极易发生油箱溢油事故。此时一般为一人一枪，只要有一定工作经验，溢油量也不会太大。特别对一些摩托车、助动、助残车等，油箱容量小，附近又安装有电气线路、发动机、此时更为危险，应特别注意。现在已普遍换代为电脑加油机，性能已有所提高，一次作业加油总量可以预置，在加油接近总量时会自动控制减慢流量，并配有自封性能的加油枪，当加油枪口接触油液面时会自动封枪停泵。这些设备都有效地避免了加油作业中油箱溢油事故的发生，但也经常会</w:t>
      </w:r>
    </w:p>
    <w:p w14:paraId="2A90F25A">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由于加油枪自封部件的损坏或司机估计不准而发生溢油事故。</w:t>
      </w:r>
    </w:p>
    <w:p w14:paraId="6EF119B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2.防加油机漏油或胶管破损</w:t>
      </w:r>
    </w:p>
    <w:p w14:paraId="576A9D0E">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枪漏油是指加油枪口封闭部件渗漏及胶管连接处密封渗漏。另外，胶管在长期的作业中，也可能由于某一局部过多频繁曲折、摩擦、损坏而产生渗漏。使用胶管时不能用力拉，同时要防止胶管被车辆碾压，加油完毕应迅速将胶管收起。</w:t>
      </w:r>
    </w:p>
    <w:p w14:paraId="03DBB19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3.防油箱破损</w:t>
      </w:r>
    </w:p>
    <w:p w14:paraId="1821B3F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这是因为司机对油箱已破损的状况并不了解，一边加油一边漏油，漏出的油量往往较大。此时应停止加油（漏油数量较多时还应用铝桶接住），并将车推开，远离加油机后，再检查油箱（不得在站内修理），并及时清除地面油污等。</w:t>
      </w:r>
    </w:p>
    <w:p w14:paraId="216762A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4.防加油时大量的油蒸气积聚</w:t>
      </w:r>
    </w:p>
    <w:p w14:paraId="257141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正常加油，油箱口也会有大量油蒸气冒出，特别在有车身挡住的局部范围油蒸气浓度会更大些，加油时应特别注意。</w:t>
      </w:r>
    </w:p>
    <w:p w14:paraId="4DDADB9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5.加油机渗漏</w:t>
      </w:r>
    </w:p>
    <w:p w14:paraId="3A58471B">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加油机较易渗漏的部位是进油口下法兰与吸入管口法兰连接处，油泵、油气分离器排出口等。加油机一旦发生渗漏，应停止加油，放空回油，关阀，切断电源检查。</w:t>
      </w:r>
    </w:p>
    <w:p w14:paraId="260BDB9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6.管道或油罐漏油的应急处理</w:t>
      </w:r>
    </w:p>
    <w:p w14:paraId="72F2EB0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油罐防腐处理不当，就有可能发生腐蚀渗漏。油罐基础处理不善，由于地下水的浮力也可能损坏一些管道的接口而发生漏油。</w:t>
      </w:r>
    </w:p>
    <w:p w14:paraId="14E210E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地下渗漏起初很难察觉，只有在大量渗漏时才可能从地面或下水道中发现，只要平时严格计量，并经常有目的地查看罐区内草木的生长状况，集水井或下水道有否异常等各种迹象，进行判断，一旦发生渗漏可采用堵漏胶和堵漏栓应急处理。</w:t>
      </w:r>
    </w:p>
    <w:p w14:paraId="65AD8EA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7.防冒油</w:t>
      </w:r>
    </w:p>
    <w:p w14:paraId="5356850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据不完全统计，冒油事故有93%属于责任事故，7%由其他事故造成。加油站一旦发生冒油事故，不易控制，损失较大。为避免冒油，一定要强调以下两点：一是一定要计量空罐容量；二是卸油时接卸工与司机都应在场。</w:t>
      </w:r>
    </w:p>
    <w:p w14:paraId="706E493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对现场已跑、冒油品必须用棉纱、毛巾、拖把等进行必要的回收，严禁用铁制、塑料等易产生火花的器皿进行回收。回收后用沙土覆盖残留油面，待充分吸收残油后将沙土清除干净。</w:t>
      </w:r>
    </w:p>
    <w:p w14:paraId="3D1E132F">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8.防混油</w:t>
      </w:r>
    </w:p>
    <w:p w14:paraId="64A5C33D">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为避免混油事故的发生，卸油时要特别注意以下两点：一是要问清来油名称，看清来油品种，还须上车验收核对；二是不能接错快速接头。</w:t>
      </w:r>
    </w:p>
    <w:p w14:paraId="36BB2509">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49" w:name="_Toc8658"/>
      <w:bookmarkStart w:id="550" w:name="_Toc4006"/>
      <w:bookmarkStart w:id="551" w:name="_Toc12987"/>
      <w:bookmarkStart w:id="552" w:name="_Toc20733"/>
      <w:r>
        <w:rPr>
          <w:rFonts w:hint="eastAsia" w:ascii="宋体" w:hAnsi="宋体" w:eastAsia="宋体" w:cs="宋体"/>
          <w:b/>
          <w:color w:val="000000" w:themeColor="text1"/>
          <w:sz w:val="30"/>
          <w:szCs w:val="30"/>
          <w:lang w:val="en-US" w:eastAsia="zh-CN"/>
          <w14:textFill>
            <w14:solidFill>
              <w14:schemeClr w14:val="tx1"/>
            </w14:solidFill>
          </w14:textFill>
        </w:rPr>
        <w:t>9.4.2预防明火事故</w:t>
      </w:r>
      <w:bookmarkEnd w:id="549"/>
      <w:bookmarkEnd w:id="550"/>
      <w:bookmarkEnd w:id="551"/>
      <w:bookmarkEnd w:id="552"/>
    </w:p>
    <w:p w14:paraId="6F09DDB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加油站的明火来源较多，在“7.4.1防止火灾、爆炸的措施及建议”的基础上，补充以下几点措施要求：</w:t>
      </w:r>
    </w:p>
    <w:p w14:paraId="3DBD0151">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1.加强火柴、香烟、打火机等火种的管理</w:t>
      </w:r>
    </w:p>
    <w:p w14:paraId="0A43BBA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严禁烟火在加油站已是人所共知，管理人员和安全员在平时的检查中，尤其要注意在收银室内和窗后、值班室附近是否有烟头存在。此外，还应加</w:t>
      </w:r>
    </w:p>
    <w:p w14:paraId="4A85CBDC">
      <w:pPr>
        <w:keepNext w:val="0"/>
        <w:keepLines w:val="0"/>
        <w:pageBreakBefore w:val="0"/>
        <w:widowControl w:val="0"/>
        <w:tabs>
          <w:tab w:val="left" w:pos="535"/>
        </w:tabs>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强对其他明火源的管理，如附近小孩玩火、放鞭炮等。</w:t>
      </w:r>
    </w:p>
    <w:p w14:paraId="0890192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2.加强对非防爆电器的管理</w:t>
      </w:r>
    </w:p>
    <w:p w14:paraId="3215DD3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收银室或值班室内有用电炉、电饭煲、电茶壶、热得快、电风扇和空调等非防爆电器。根据在加油机附近的爆炸危险区域范围和危险等级划分，在加油机附近4.5m范围内是禁用非防爆电器的。此外，空罐长时间不用后要进行清洗或修理时，必须严格执行用火管理制度，且不得采用非防爆灯具进行作业。</w:t>
      </w:r>
    </w:p>
    <w:p w14:paraId="6EA59E1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3.加强对加油车辆的熄火作业管理</w:t>
      </w:r>
    </w:p>
    <w:p w14:paraId="47A20AB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行驶中的车辆排出的尾气中很可能存在有未燃尽的油气所携带的火星。车辆进入油库必须戴上防火帽，故任何车辆必须在熄火后方可加油，摩托车</w:t>
      </w:r>
    </w:p>
    <w:p w14:paraId="639BAF1B">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宜单独设置加油点在加油站边缘加油。</w:t>
      </w:r>
    </w:p>
    <w:p w14:paraId="59EA9B86">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4.加强对动火维修作业的管理</w:t>
      </w:r>
    </w:p>
    <w:p w14:paraId="222480A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动用明火，必须要有齐全的手续，严格执行规章制度，否则易发生意外。尤其要注意是：在进行改造动火前应强制通风，进罐室作业或清洗油罐时应检测油气浓度，并有可靠的防护措施，严禁在罐室进行动火作业。加油站动火是非常危险的作业，必须严格执行规章制度，办理动火作业手续。</w:t>
      </w:r>
    </w:p>
    <w:p w14:paraId="6DD6D432">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53" w:name="_Toc10843"/>
      <w:bookmarkStart w:id="554" w:name="_Toc17390"/>
      <w:bookmarkStart w:id="555" w:name="_Toc20484"/>
      <w:bookmarkStart w:id="556" w:name="_Toc11049"/>
      <w:r>
        <w:rPr>
          <w:rFonts w:hint="eastAsia" w:ascii="宋体" w:hAnsi="宋体" w:eastAsia="宋体" w:cs="宋体"/>
          <w:b/>
          <w:color w:val="000000" w:themeColor="text1"/>
          <w:sz w:val="30"/>
          <w:szCs w:val="30"/>
          <w:lang w:val="en-US" w:eastAsia="zh-CN"/>
          <w14:textFill>
            <w14:solidFill>
              <w14:schemeClr w14:val="tx1"/>
            </w14:solidFill>
          </w14:textFill>
        </w:rPr>
        <w:t>9.4.3防静电事故</w:t>
      </w:r>
      <w:bookmarkEnd w:id="553"/>
      <w:bookmarkEnd w:id="554"/>
      <w:bookmarkEnd w:id="555"/>
      <w:bookmarkEnd w:id="556"/>
    </w:p>
    <w:p w14:paraId="5489E4B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静电的积聚放电是引起火灾事故的因素之一。加油站产生静电的原因大致有以下几种：输油管线中产生的静电；过滤器产生的静电；装油产生的静电；汽车油罐车产生的静电及人体静电等。</w:t>
      </w:r>
    </w:p>
    <w:p w14:paraId="43F600B4">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加油站的防静电方面应符合以下要求：</w:t>
      </w:r>
    </w:p>
    <w:p w14:paraId="53D6252C">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1.卸油前要接地</w:t>
      </w:r>
    </w:p>
    <w:p w14:paraId="0E32DA29">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输油管线与储油罐都安装有静电接地装置，卸油前必须接上有效的静电接地装置，否则即为违章作业。加油站接地装置每年至少在雷雨季节前检测一次其有效性，并做好记录。要求油罐、站房和罩棚的接地电阻值不得超过10Ω。输油管线的电阻值不得超过30Ω,卸油防静电接地电阻值不得超过</w:t>
      </w:r>
    </w:p>
    <w:p w14:paraId="4B357A0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100Ω。加油站卸油静电接地应采用具有报警功能的接地装置。</w:t>
      </w:r>
    </w:p>
    <w:p w14:paraId="044759A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2.加油枪胶管上的静电导线要经常检查</w:t>
      </w:r>
    </w:p>
    <w:p w14:paraId="4D90C808">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缠绕在加油枪胶管上的静电接地导线，由于经常移动，有可能会发生断裂，从而造成事故。某加油站在为一铁桶灌注汽油时，曾经发生过爆燃事故，经查是加油枪上的静电接地导线断裂造成的。故要求操作人员经常检查该导</w:t>
      </w:r>
    </w:p>
    <w:p w14:paraId="7E64216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线的完整性，至少在上下班要做好常规检查。</w:t>
      </w:r>
    </w:p>
    <w:p w14:paraId="7A457C9A">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3.不能向塑料桶直接灌注汽油等易燃油品</w:t>
      </w:r>
    </w:p>
    <w:p w14:paraId="51075F82">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汽油等的电阻都很大，所以向绝缘的塑料桶内灌注汽油会使静电压很快升高，积聚至相当能量引爆闪点很低的汽油，发生火灾事故。如某加油站曾经发生过向塑料桶直接灌注汽油时发生起火烧伤手臂的事故。正确的做法是</w:t>
      </w:r>
    </w:p>
    <w:p w14:paraId="534BFE78">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将油品加入铁桶内，再将铁桶提到安全区域，通过漏斗将油品灌入塑料桶内。</w:t>
      </w:r>
    </w:p>
    <w:p w14:paraId="6CE5924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4.作业人员要穿防静电工作服，以消除人体静电</w:t>
      </w:r>
    </w:p>
    <w:p w14:paraId="40B00D2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化纤面料制作的服装在穿着摩擦时会产生很高的静电压，也会产生电火花，具有相当的危险性。所以，加油站的员工工作服必是防静电的面料或全棉面料，不允许穿化纤服装上岗操作，更不允许在加油作业现场穿、脱、拍</w:t>
      </w:r>
    </w:p>
    <w:p w14:paraId="4FC0C97E">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打化纤服装，以免发生静电事故。</w:t>
      </w:r>
    </w:p>
    <w:p w14:paraId="0D1F18A5">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57" w:name="_Toc31979"/>
      <w:bookmarkStart w:id="558" w:name="_Toc22412"/>
      <w:bookmarkStart w:id="559" w:name="_Toc7009"/>
      <w:bookmarkStart w:id="560" w:name="_Toc31311"/>
      <w:r>
        <w:rPr>
          <w:rFonts w:hint="eastAsia" w:ascii="宋体" w:hAnsi="宋体" w:eastAsia="宋体" w:cs="宋体"/>
          <w:b/>
          <w:color w:val="000000" w:themeColor="text1"/>
          <w:sz w:val="30"/>
          <w:szCs w:val="30"/>
          <w:lang w:val="en-US" w:eastAsia="zh-CN"/>
          <w14:textFill>
            <w14:solidFill>
              <w14:schemeClr w14:val="tx1"/>
            </w14:solidFill>
          </w14:textFill>
        </w:rPr>
        <w:t>9.4.4防电气火灾事故</w:t>
      </w:r>
      <w:bookmarkEnd w:id="557"/>
      <w:bookmarkEnd w:id="558"/>
      <w:bookmarkEnd w:id="559"/>
      <w:bookmarkEnd w:id="560"/>
    </w:p>
    <w:p w14:paraId="35126275">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一旦发生电气火灾是比较危险的，故应特别重视电气的整体防爆和完好，平时检查电气线路时应注意：在爆炸危险区域内是否乱拉电线；电器是否已老化；配管、接线有否松动、脱落；电气设备有否破损，违反操作规程等。</w:t>
      </w:r>
    </w:p>
    <w:p w14:paraId="0CFFEF74">
      <w:pPr>
        <w:pStyle w:val="4"/>
        <w:pageBreakBefore w:val="0"/>
        <w:widowControl w:val="0"/>
        <w:kinsoku/>
        <w:wordWrap/>
        <w:overflowPunct/>
        <w:topLinePunct w:val="0"/>
        <w:autoSpaceDE/>
        <w:autoSpaceDN/>
        <w:bidi w:val="0"/>
        <w:spacing w:before="0" w:beforeLines="0" w:after="0" w:afterLines="0" w:line="600" w:lineRule="exact"/>
        <w:textAlignment w:val="auto"/>
        <w:rPr>
          <w:rFonts w:hint="eastAsia" w:ascii="宋体" w:hAnsi="宋体" w:eastAsia="宋体" w:cs="宋体"/>
          <w:b/>
          <w:color w:val="000000" w:themeColor="text1"/>
          <w:sz w:val="30"/>
          <w:szCs w:val="30"/>
          <w:lang w:val="en-US" w:eastAsia="zh-CN"/>
          <w14:textFill>
            <w14:solidFill>
              <w14:schemeClr w14:val="tx1"/>
            </w14:solidFill>
          </w14:textFill>
        </w:rPr>
      </w:pPr>
      <w:bookmarkStart w:id="561" w:name="_Toc25789"/>
      <w:bookmarkStart w:id="562" w:name="_Toc11112"/>
      <w:bookmarkStart w:id="563" w:name="_Toc24203"/>
      <w:bookmarkStart w:id="564" w:name="_Toc30685"/>
      <w:r>
        <w:rPr>
          <w:rFonts w:hint="eastAsia" w:ascii="宋体" w:hAnsi="宋体" w:eastAsia="宋体" w:cs="宋体"/>
          <w:b/>
          <w:color w:val="000000" w:themeColor="text1"/>
          <w:sz w:val="30"/>
          <w:szCs w:val="30"/>
          <w:lang w:val="en-US" w:eastAsia="zh-CN"/>
          <w14:textFill>
            <w14:solidFill>
              <w14:schemeClr w14:val="tx1"/>
            </w14:solidFill>
          </w14:textFill>
        </w:rPr>
        <w:t>9.4.5防雷电事故</w:t>
      </w:r>
      <w:bookmarkEnd w:id="561"/>
      <w:bookmarkEnd w:id="562"/>
      <w:bookmarkEnd w:id="563"/>
      <w:bookmarkEnd w:id="564"/>
    </w:p>
    <w:p w14:paraId="6C5C1E87">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雷电是大自然中静电放电过程，对设施设备有很大的破坏力和多方面的</w:t>
      </w:r>
    </w:p>
    <w:p w14:paraId="7504AA5E">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破坏使用。应加强防雷装置完好性检查。</w:t>
      </w:r>
    </w:p>
    <w:p w14:paraId="574A33D6">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p>
    <w:p w14:paraId="3525FD09">
      <w:pPr>
        <w:bidi w:val="0"/>
        <w:rPr>
          <w:rFonts w:hint="eastAsia" w:ascii="Times New Roman" w:hAnsi="Times New Roman" w:eastAsia="宋体" w:cs="Times New Roman"/>
          <w:kern w:val="2"/>
          <w:sz w:val="21"/>
          <w:szCs w:val="24"/>
          <w:lang w:val="en-US" w:eastAsia="zh-CN" w:bidi="ar-SA"/>
        </w:rPr>
      </w:pPr>
    </w:p>
    <w:p w14:paraId="54FE6447">
      <w:pPr>
        <w:bidi w:val="0"/>
        <w:rPr>
          <w:rFonts w:hint="eastAsia"/>
          <w:lang w:val="en-US" w:eastAsia="zh-CN"/>
        </w:rPr>
      </w:pPr>
    </w:p>
    <w:p w14:paraId="7562EBF4">
      <w:pPr>
        <w:bidi w:val="0"/>
        <w:rPr>
          <w:rFonts w:hint="eastAsia"/>
          <w:lang w:val="en-US" w:eastAsia="zh-CN"/>
        </w:rPr>
      </w:pPr>
    </w:p>
    <w:p w14:paraId="240DB44C">
      <w:pPr>
        <w:bidi w:val="0"/>
        <w:rPr>
          <w:rFonts w:hint="eastAsia"/>
          <w:lang w:val="en-US" w:eastAsia="zh-CN"/>
        </w:rPr>
      </w:pPr>
    </w:p>
    <w:p w14:paraId="17A57A3F">
      <w:pPr>
        <w:bidi w:val="0"/>
        <w:rPr>
          <w:rFonts w:hint="eastAsia"/>
          <w:lang w:val="en-US" w:eastAsia="zh-CN"/>
        </w:rPr>
      </w:pPr>
    </w:p>
    <w:p w14:paraId="40421293">
      <w:pPr>
        <w:bidi w:val="0"/>
        <w:rPr>
          <w:rFonts w:hint="eastAsia"/>
          <w:lang w:val="en-US" w:eastAsia="zh-CN"/>
        </w:rPr>
      </w:pPr>
    </w:p>
    <w:p w14:paraId="7ADF913F">
      <w:pPr>
        <w:bidi w:val="0"/>
        <w:rPr>
          <w:rFonts w:hint="eastAsia"/>
          <w:lang w:val="en-US" w:eastAsia="zh-CN"/>
        </w:rPr>
      </w:pPr>
    </w:p>
    <w:p w14:paraId="285A3520">
      <w:pPr>
        <w:bidi w:val="0"/>
        <w:rPr>
          <w:rFonts w:hint="eastAsia"/>
          <w:lang w:val="en-US" w:eastAsia="zh-CN"/>
        </w:rPr>
      </w:pPr>
    </w:p>
    <w:p w14:paraId="39680A25">
      <w:pPr>
        <w:bidi w:val="0"/>
        <w:rPr>
          <w:rFonts w:hint="eastAsia"/>
          <w:lang w:val="en-US" w:eastAsia="zh-CN"/>
        </w:rPr>
      </w:pPr>
    </w:p>
    <w:p w14:paraId="296A6C29">
      <w:pPr>
        <w:bidi w:val="0"/>
        <w:rPr>
          <w:rFonts w:hint="eastAsia"/>
          <w:lang w:val="en-US" w:eastAsia="zh-CN"/>
        </w:rPr>
      </w:pPr>
    </w:p>
    <w:p w14:paraId="6C0A1D46">
      <w:pPr>
        <w:bidi w:val="0"/>
        <w:rPr>
          <w:rFonts w:hint="eastAsia"/>
          <w:lang w:val="en-US" w:eastAsia="zh-CN"/>
        </w:rPr>
      </w:pPr>
    </w:p>
    <w:p w14:paraId="3E174054">
      <w:pPr>
        <w:bidi w:val="0"/>
        <w:rPr>
          <w:rFonts w:hint="eastAsia"/>
          <w:lang w:val="en-US" w:eastAsia="zh-CN"/>
        </w:rPr>
      </w:pPr>
    </w:p>
    <w:p w14:paraId="618CDC4E">
      <w:pPr>
        <w:bidi w:val="0"/>
        <w:rPr>
          <w:rFonts w:hint="eastAsia"/>
          <w:lang w:val="en-US" w:eastAsia="zh-CN"/>
        </w:rPr>
      </w:pPr>
    </w:p>
    <w:p w14:paraId="48EF53D0">
      <w:pPr>
        <w:bidi w:val="0"/>
        <w:ind w:firstLine="472" w:firstLineChars="0"/>
        <w:jc w:val="left"/>
        <w:rPr>
          <w:rFonts w:hint="eastAsia"/>
          <w:lang w:val="en-US" w:eastAsia="zh-CN"/>
        </w:rPr>
      </w:pPr>
    </w:p>
    <w:p w14:paraId="5B9111A5">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bookmarkStart w:id="565" w:name="_Toc2865"/>
      <w:bookmarkStart w:id="566" w:name="_Toc19016"/>
      <w:bookmarkStart w:id="567" w:name="_Toc4676"/>
      <w:bookmarkStart w:id="568" w:name="_Toc7228"/>
      <w:r>
        <w:rPr>
          <w:rFonts w:hint="eastAsia" w:ascii="宋体" w:hAnsi="宋体" w:eastAsia="宋体" w:cs="宋体"/>
          <w:b/>
          <w:lang w:val="en-US" w:eastAsia="zh-CN"/>
        </w:rPr>
        <w:t>第10章安全评价结论</w:t>
      </w:r>
      <w:bookmarkEnd w:id="565"/>
      <w:bookmarkEnd w:id="566"/>
      <w:bookmarkEnd w:id="567"/>
      <w:bookmarkEnd w:id="568"/>
    </w:p>
    <w:p w14:paraId="2B0B697F">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69" w:name="_Toc12488"/>
      <w:bookmarkStart w:id="570" w:name="_Toc31563"/>
      <w:bookmarkStart w:id="571" w:name="_Toc13338"/>
      <w:bookmarkStart w:id="572" w:name="_Toc21845"/>
      <w:r>
        <w:rPr>
          <w:rFonts w:hint="eastAsia" w:ascii="宋体" w:hAnsi="宋体" w:eastAsia="宋体" w:cs="宋体"/>
          <w:b/>
          <w:smallCaps/>
          <w:color w:val="auto"/>
          <w:kern w:val="0"/>
          <w:szCs w:val="20"/>
          <w:lang w:val="en-US" w:eastAsia="zh-CN"/>
        </w:rPr>
        <w:t>10.1主要危险物质及危险、有害因素</w:t>
      </w:r>
      <w:bookmarkEnd w:id="569"/>
      <w:bookmarkEnd w:id="570"/>
      <w:bookmarkEnd w:id="571"/>
      <w:bookmarkEnd w:id="572"/>
    </w:p>
    <w:p w14:paraId="269D9E53">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本项目主要危险物质是：0#柴油、92#汽油、95#汽油，汽油和柴油为危险化学品，汽油为重点监管的危险化学品。</w:t>
      </w:r>
    </w:p>
    <w:p w14:paraId="5BA84104">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加油站在经营过程中，主要危险部位在加油区、油罐区、配电房。主要危险有害因素是火灾、爆炸、中毒窒息、高处坠落、车辆伤害及触电等危害。其中，因油品泄漏而导致的火灾、爆炸危害是防范的重点。</w:t>
      </w:r>
    </w:p>
    <w:p w14:paraId="37BA740D">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该加油站站址方面存在的危险有害因素是坍塌；周边环境的主要危险有害因素是车辆伤害和火灾爆炸、触电；气候条件的主要危险有害因素是雷电、暴雪和高温天气，可能会导致雷电危害、人员中暑、潜油泵气阻、罐区塌陷、罩棚坍塌等危害等。</w:t>
      </w:r>
    </w:p>
    <w:p w14:paraId="39EB0115">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加油站的爆炸危险区域、火灾危险区域主要是加油区、卸油区、油罐区域和隔油池，划分为1区和2区；油罐内为0区。爆炸危险区域未超出站址界限。</w:t>
      </w:r>
    </w:p>
    <w:p w14:paraId="4ED4F75E">
      <w:pPr>
        <w:keepNext w:val="0"/>
        <w:keepLines w:val="0"/>
        <w:pageBreakBefore w:val="0"/>
        <w:widowControl w:val="0"/>
        <w:kinsoku/>
        <w:wordWrap/>
        <w:overflowPunct/>
        <w:topLinePunct w:val="0"/>
        <w:autoSpaceDE/>
        <w:autoSpaceDN/>
        <w:bidi w:val="0"/>
        <w:adjustRightInd w:val="0"/>
        <w:snapToGrid w:val="0"/>
        <w:spacing w:afterAutospacing="0" w:line="600" w:lineRule="exact"/>
        <w:ind w:firstLine="560" w:firstLineChars="200"/>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经辨识，该加油站汽油和柴油的储存设施未构成危险化学品重大危险</w:t>
      </w:r>
    </w:p>
    <w:p w14:paraId="51575922">
      <w:pPr>
        <w:keepNext w:val="0"/>
        <w:keepLines w:val="0"/>
        <w:pageBreakBefore w:val="0"/>
        <w:widowControl w:val="0"/>
        <w:kinsoku/>
        <w:wordWrap/>
        <w:overflowPunct/>
        <w:topLinePunct w:val="0"/>
        <w:autoSpaceDE/>
        <w:autoSpaceDN/>
        <w:bidi w:val="0"/>
        <w:adjustRightInd w:val="0"/>
        <w:snapToGrid w:val="0"/>
        <w:spacing w:afterAutospacing="0" w:line="600" w:lineRule="exact"/>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源。</w:t>
      </w:r>
    </w:p>
    <w:p w14:paraId="64DBEAFB">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73" w:name="_Toc647"/>
      <w:bookmarkStart w:id="574" w:name="_Toc801"/>
      <w:bookmarkStart w:id="575" w:name="_Toc7618"/>
      <w:bookmarkStart w:id="576" w:name="_Toc6163"/>
      <w:r>
        <w:rPr>
          <w:rFonts w:hint="eastAsia" w:ascii="宋体" w:hAnsi="宋体" w:eastAsia="宋体" w:cs="宋体"/>
          <w:b/>
          <w:smallCaps/>
          <w:color w:val="auto"/>
          <w:kern w:val="0"/>
          <w:szCs w:val="20"/>
          <w:lang w:val="en-US" w:eastAsia="zh-CN"/>
        </w:rPr>
        <w:t>10.2需重点防范的事故风险</w:t>
      </w:r>
      <w:bookmarkEnd w:id="573"/>
      <w:bookmarkEnd w:id="574"/>
      <w:bookmarkEnd w:id="575"/>
      <w:bookmarkEnd w:id="576"/>
    </w:p>
    <w:p w14:paraId="135BBE1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val="0"/>
          <w:bCs w:val="0"/>
          <w:snapToGrid/>
          <w:color w:val="000000" w:themeColor="text1"/>
          <w:kern w:val="0"/>
          <w:sz w:val="28"/>
          <w:szCs w:val="28"/>
          <w:lang w:val="en-US" w:eastAsia="zh-CN" w:bidi="ar-SA"/>
          <w14:textFill>
            <w14:solidFill>
              <w14:schemeClr w14:val="tx1"/>
            </w14:solidFill>
          </w14:textFill>
        </w:rPr>
        <w:t>该加油站需重点防范的事故类型为油品的火灾与爆炸事故和触电危害。而引起油品火灾、爆炸的主要原因是油品泄漏、站内存在明火或点火源、使用不防爆的电器和工具、预防和消除静电的措施不到位等。尤其是油罐车卸油时，若油罐车发生油品泄漏导致发生火灾、爆炸事故，事故危害风险较大，必须高度重视和重点防范。</w:t>
      </w:r>
    </w:p>
    <w:p w14:paraId="59F53E7D">
      <w:pPr>
        <w:pStyle w:val="3"/>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600" w:lineRule="exact"/>
        <w:jc w:val="both"/>
        <w:textAlignment w:val="auto"/>
        <w:outlineLvl w:val="1"/>
        <w:rPr>
          <w:rFonts w:hint="eastAsia" w:ascii="宋体" w:hAnsi="宋体" w:eastAsia="宋体" w:cs="宋体"/>
          <w:b/>
          <w:smallCaps/>
          <w:color w:val="auto"/>
          <w:kern w:val="0"/>
          <w:szCs w:val="20"/>
          <w:lang w:val="en-US" w:eastAsia="zh-CN"/>
        </w:rPr>
      </w:pPr>
      <w:bookmarkStart w:id="577" w:name="_Toc2099"/>
      <w:bookmarkStart w:id="578" w:name="_Toc8298"/>
      <w:bookmarkStart w:id="579" w:name="_Toc4373"/>
      <w:bookmarkStart w:id="580" w:name="_Toc30749"/>
      <w:r>
        <w:rPr>
          <w:rFonts w:hint="eastAsia" w:ascii="宋体" w:hAnsi="宋体" w:eastAsia="宋体" w:cs="宋体"/>
          <w:b/>
          <w:smallCaps/>
          <w:color w:val="auto"/>
          <w:kern w:val="0"/>
          <w:szCs w:val="20"/>
          <w:lang w:val="en-US" w:eastAsia="zh-CN"/>
        </w:rPr>
        <w:t>10.3评价结论</w:t>
      </w:r>
      <w:bookmarkEnd w:id="577"/>
      <w:bookmarkEnd w:id="578"/>
      <w:bookmarkEnd w:id="579"/>
      <w:bookmarkEnd w:id="580"/>
    </w:p>
    <w:p w14:paraId="023B5103">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昭通市鼎安科技有限公司根据国家相关法律、法规及技术标准的要求，对加油站的站址、总平面布置、工艺设备安全设施、公辅设施和安全管理等</w:t>
      </w:r>
    </w:p>
    <w:p w14:paraId="0A566D37">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进行了安全评价，做出如下评价结论：</w:t>
      </w:r>
    </w:p>
    <w:p w14:paraId="20B8FED3">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1.危险度评价：</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卸油、加油和供配电等各作业环节，虽属于一般风险，但均存在显著危险。加油站在经营过程中应引起了高度重视，加大了防范及管理力度，完善了安全设施，确保了系统安全运行。其中，通过数据对该加油站单个埋地汽油储罐进行爆炸事故后果模拟计算，得出汽油罐中心点与站房距离、与站外道路距离均在安全距离以外。</w:t>
      </w:r>
    </w:p>
    <w:p w14:paraId="68E3C4AE">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outlineLvl w:val="9"/>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2．站址与总平面布置单元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：该加油站的站址、站内总平面布置符合《汽</w:t>
      </w:r>
    </w:p>
    <w:p w14:paraId="35279285">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车加油加气加氢站技术标准》（GB50156-2021）的要求。</w:t>
      </w:r>
    </w:p>
    <w:p w14:paraId="127B8DCB">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3.工艺及设施单元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：该加油站采用</w:t>
      </w:r>
      <w:r>
        <w:rPr>
          <w:rFonts w:hint="eastAsia" w:ascii="宋体" w:hAnsi="宋体" w:cs="宋体"/>
          <w:snapToGrid/>
          <w:color w:val="000000" w:themeColor="text1"/>
          <w:kern w:val="0"/>
          <w:sz w:val="28"/>
          <w:szCs w:val="28"/>
          <w:lang w:val="en-US" w:eastAsia="zh-CN" w:bidi="ar-SA"/>
          <w14:textFill>
            <w14:solidFill>
              <w14:schemeClr w14:val="tx1"/>
            </w14:solidFill>
          </w14:textFill>
        </w:rPr>
        <w:t xml:space="preserve"> 双层油罐</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，采用密闭卸油工艺，汽油采用潜油泵加油工艺，柴油采用潜油泵加油工艺，汽油设置汽油加油、卸油油气回收装置。加油站工艺及设备设施符合《汽车加油加气加氢</w:t>
      </w:r>
    </w:p>
    <w:p w14:paraId="3866DDF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站技术标准》（GB50156-2021）要求。</w:t>
      </w:r>
    </w:p>
    <w:p w14:paraId="0C34B1DE">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4.公辅设施单元：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该加油站配置有发电机作为备用电源。站内用电线电缆穿管敷设；地面雨水采用散流排水方式；站房、罩棚的耐火等级为二级；配置的消防设施满足规范要求。加油站的公辅设施单元符合《汽车加油加气</w:t>
      </w:r>
    </w:p>
    <w:p w14:paraId="58D341AC">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加氢站技术标准》（GB50156-2021）的要求。</w:t>
      </w:r>
    </w:p>
    <w:p w14:paraId="588F8D1D">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5.安全管理单元：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加油站建立了安全管理责任制度和岗位安全操作规程，主要负责人和安全员已取得合格证，已编制了生产安全事故应急预案。安全管理符合《中华人民共和国安全生产法》等法规的要求。</w:t>
      </w:r>
    </w:p>
    <w:p w14:paraId="1B23CFDF">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6.安全经营条件单元：</w:t>
      </w:r>
      <w:r>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t>加油站的证照齐全有效，无重大生产安全事故隐患。安全经营条件符合《危险化学品经营许可证管理办法》（国家安全生产监督管理总局令第55号）和《云南省安全生产监督管理局关于危险化学品经营行政许可有关事项的通知》（云安监管〔2013〕13号）的有关要求</w:t>
      </w:r>
      <w:r>
        <w:rPr>
          <w:rFonts w:hint="eastAsia" w:ascii="宋体" w:hAnsi="宋体" w:cs="宋体"/>
          <w:snapToGrid/>
          <w:color w:val="000000" w:themeColor="text1"/>
          <w:kern w:val="0"/>
          <w:sz w:val="28"/>
          <w:szCs w:val="28"/>
          <w:lang w:val="en-US" w:eastAsia="zh-CN" w:bidi="ar-SA"/>
          <w14:textFill>
            <w14:solidFill>
              <w14:schemeClr w14:val="tx1"/>
            </w14:solidFill>
          </w14:textFill>
        </w:rPr>
        <w:t>。</w:t>
      </w:r>
    </w:p>
    <w:p w14:paraId="0DF23C9A">
      <w:pPr>
        <w:keepNext w:val="0"/>
        <w:keepLines w:val="0"/>
        <w:pageBreakBefore w:val="0"/>
        <w:widowControl w:val="0"/>
        <w:kinsoku/>
        <w:wordWrap/>
        <w:overflowPunct/>
        <w:topLinePunct w:val="0"/>
        <w:autoSpaceDE/>
        <w:autoSpaceDN/>
        <w:bidi w:val="0"/>
        <w:adjustRightInd w:val="0"/>
        <w:snapToGrid w:val="0"/>
        <w:spacing w:line="600" w:lineRule="exact"/>
        <w:ind w:firstLine="562" w:firstLineChars="200"/>
        <w:textAlignment w:val="auto"/>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pPr>
      <w:r>
        <w:rPr>
          <w:rFonts w:hint="eastAsia" w:ascii="宋体" w:hAnsi="宋体" w:eastAsia="宋体" w:cs="宋体"/>
          <w:b/>
          <w:bCs/>
          <w:snapToGrid/>
          <w:color w:val="000000" w:themeColor="text1"/>
          <w:kern w:val="0"/>
          <w:sz w:val="28"/>
          <w:szCs w:val="28"/>
          <w:lang w:val="en-US" w:eastAsia="zh-CN" w:bidi="ar-SA"/>
          <w14:textFill>
            <w14:solidFill>
              <w14:schemeClr w14:val="tx1"/>
            </w14:solidFill>
          </w14:textFill>
        </w:rPr>
        <w:t>评价结论：兰坪县宏源经贸有限责任公司安全现状经营条件，符合国家有关安全方面的法律、法规、标准和规范的要求。具备安全经营条件。</w:t>
      </w:r>
    </w:p>
    <w:p w14:paraId="5E268032">
      <w:pPr>
        <w:bidi w:val="0"/>
        <w:jc w:val="left"/>
        <w:rPr>
          <w:rFonts w:hint="eastAsia"/>
          <w:lang w:val="en-US" w:eastAsia="zh-CN"/>
        </w:rPr>
      </w:pPr>
    </w:p>
    <w:p w14:paraId="35D786C6">
      <w:pPr>
        <w:bidi w:val="0"/>
        <w:rPr>
          <w:rFonts w:hint="eastAsia" w:ascii="Times New Roman" w:hAnsi="Times New Roman" w:eastAsia="宋体" w:cs="Times New Roman"/>
          <w:kern w:val="2"/>
          <w:sz w:val="21"/>
          <w:szCs w:val="24"/>
          <w:lang w:val="en-US" w:eastAsia="zh-CN" w:bidi="ar-SA"/>
        </w:rPr>
      </w:pPr>
    </w:p>
    <w:p w14:paraId="30A300DF">
      <w:pPr>
        <w:bidi w:val="0"/>
        <w:rPr>
          <w:rFonts w:hint="eastAsia"/>
          <w:lang w:val="en-US" w:eastAsia="zh-CN"/>
        </w:rPr>
      </w:pPr>
    </w:p>
    <w:p w14:paraId="79041175">
      <w:pPr>
        <w:bidi w:val="0"/>
        <w:rPr>
          <w:rFonts w:hint="eastAsia"/>
          <w:lang w:val="en-US" w:eastAsia="zh-CN"/>
        </w:rPr>
      </w:pPr>
    </w:p>
    <w:p w14:paraId="215733ED">
      <w:pPr>
        <w:bidi w:val="0"/>
        <w:rPr>
          <w:rFonts w:hint="eastAsia"/>
          <w:lang w:val="en-US" w:eastAsia="zh-CN"/>
        </w:rPr>
      </w:pPr>
    </w:p>
    <w:p w14:paraId="6DB12725">
      <w:pPr>
        <w:bidi w:val="0"/>
        <w:rPr>
          <w:rFonts w:hint="eastAsia"/>
          <w:lang w:val="en-US" w:eastAsia="zh-CN"/>
        </w:rPr>
      </w:pPr>
    </w:p>
    <w:p w14:paraId="045C6D00">
      <w:pPr>
        <w:bidi w:val="0"/>
        <w:rPr>
          <w:rFonts w:hint="eastAsia"/>
          <w:lang w:val="en-US" w:eastAsia="zh-CN"/>
        </w:rPr>
      </w:pPr>
    </w:p>
    <w:p w14:paraId="51615278">
      <w:pPr>
        <w:bidi w:val="0"/>
        <w:rPr>
          <w:rFonts w:hint="eastAsia"/>
          <w:lang w:val="en-US" w:eastAsia="zh-CN"/>
        </w:rPr>
      </w:pPr>
    </w:p>
    <w:p w14:paraId="561C4D70">
      <w:pPr>
        <w:bidi w:val="0"/>
        <w:rPr>
          <w:rFonts w:hint="eastAsia"/>
          <w:lang w:val="en-US" w:eastAsia="zh-CN"/>
        </w:rPr>
      </w:pPr>
    </w:p>
    <w:p w14:paraId="58599310">
      <w:pPr>
        <w:bidi w:val="0"/>
        <w:rPr>
          <w:rFonts w:hint="eastAsia"/>
          <w:lang w:val="en-US" w:eastAsia="zh-CN"/>
        </w:rPr>
      </w:pPr>
    </w:p>
    <w:p w14:paraId="6A2C9D30">
      <w:pPr>
        <w:bidi w:val="0"/>
        <w:rPr>
          <w:rFonts w:hint="eastAsia"/>
          <w:lang w:val="en-US" w:eastAsia="zh-CN"/>
        </w:rPr>
      </w:pPr>
    </w:p>
    <w:p w14:paraId="6C485D8C">
      <w:pPr>
        <w:bidi w:val="0"/>
        <w:rPr>
          <w:rFonts w:hint="eastAsia"/>
          <w:lang w:val="en-US" w:eastAsia="zh-CN"/>
        </w:rPr>
      </w:pPr>
    </w:p>
    <w:p w14:paraId="35EA9AF6">
      <w:pPr>
        <w:bidi w:val="0"/>
        <w:rPr>
          <w:rFonts w:hint="eastAsia"/>
          <w:lang w:val="en-US" w:eastAsia="zh-CN"/>
        </w:rPr>
      </w:pPr>
    </w:p>
    <w:p w14:paraId="3BA3458E">
      <w:pPr>
        <w:bidi w:val="0"/>
        <w:rPr>
          <w:rFonts w:hint="eastAsia"/>
          <w:lang w:val="en-US" w:eastAsia="zh-CN"/>
        </w:rPr>
      </w:pPr>
    </w:p>
    <w:p w14:paraId="10528822">
      <w:pPr>
        <w:bidi w:val="0"/>
        <w:rPr>
          <w:rFonts w:hint="eastAsia"/>
          <w:lang w:val="en-US" w:eastAsia="zh-CN"/>
        </w:rPr>
      </w:pPr>
    </w:p>
    <w:p w14:paraId="3A819E86">
      <w:pPr>
        <w:bidi w:val="0"/>
        <w:rPr>
          <w:rFonts w:hint="eastAsia"/>
          <w:lang w:val="en-US" w:eastAsia="zh-CN"/>
        </w:rPr>
      </w:pPr>
    </w:p>
    <w:p w14:paraId="7ACDA105">
      <w:pPr>
        <w:bidi w:val="0"/>
        <w:rPr>
          <w:rFonts w:hint="eastAsia"/>
          <w:lang w:val="en-US" w:eastAsia="zh-CN"/>
        </w:rPr>
      </w:pPr>
    </w:p>
    <w:p w14:paraId="77F32C5A">
      <w:pPr>
        <w:bidi w:val="0"/>
        <w:rPr>
          <w:rFonts w:hint="eastAsia"/>
          <w:lang w:val="en-US" w:eastAsia="zh-CN"/>
        </w:rPr>
      </w:pPr>
    </w:p>
    <w:p w14:paraId="3C0C4DAA">
      <w:pPr>
        <w:bidi w:val="0"/>
        <w:rPr>
          <w:rFonts w:hint="eastAsia"/>
          <w:lang w:val="en-US" w:eastAsia="zh-CN"/>
        </w:rPr>
      </w:pPr>
    </w:p>
    <w:p w14:paraId="5F14BE03">
      <w:pPr>
        <w:bidi w:val="0"/>
        <w:rPr>
          <w:rFonts w:hint="eastAsia"/>
          <w:lang w:val="en-US" w:eastAsia="zh-CN"/>
        </w:rPr>
      </w:pPr>
    </w:p>
    <w:p w14:paraId="27731A49">
      <w:pPr>
        <w:bidi w:val="0"/>
        <w:rPr>
          <w:rFonts w:hint="eastAsia"/>
          <w:lang w:val="en-US" w:eastAsia="zh-CN"/>
        </w:rPr>
      </w:pPr>
    </w:p>
    <w:p w14:paraId="2AB11674">
      <w:pPr>
        <w:bidi w:val="0"/>
        <w:rPr>
          <w:rFonts w:hint="eastAsia"/>
          <w:lang w:val="en-US" w:eastAsia="zh-CN"/>
        </w:rPr>
      </w:pPr>
    </w:p>
    <w:p w14:paraId="798D62A2">
      <w:pPr>
        <w:bidi w:val="0"/>
        <w:rPr>
          <w:rFonts w:hint="eastAsia"/>
          <w:lang w:val="en-US" w:eastAsia="zh-CN"/>
        </w:rPr>
      </w:pPr>
    </w:p>
    <w:p w14:paraId="78CF6CB0">
      <w:pPr>
        <w:bidi w:val="0"/>
        <w:rPr>
          <w:rFonts w:hint="eastAsia"/>
          <w:lang w:val="en-US" w:eastAsia="zh-CN"/>
        </w:rPr>
      </w:pPr>
    </w:p>
    <w:p w14:paraId="15328545">
      <w:pPr>
        <w:bidi w:val="0"/>
        <w:rPr>
          <w:rFonts w:hint="eastAsia"/>
          <w:lang w:val="en-US" w:eastAsia="zh-CN"/>
        </w:rPr>
      </w:pPr>
    </w:p>
    <w:p w14:paraId="52D00C75">
      <w:pPr>
        <w:bidi w:val="0"/>
        <w:rPr>
          <w:rFonts w:hint="eastAsia"/>
          <w:lang w:val="en-US" w:eastAsia="zh-CN"/>
        </w:rPr>
      </w:pPr>
    </w:p>
    <w:p w14:paraId="6BD70056">
      <w:pPr>
        <w:bidi w:val="0"/>
        <w:rPr>
          <w:rFonts w:hint="eastAsia"/>
          <w:lang w:val="en-US" w:eastAsia="zh-CN"/>
        </w:rPr>
      </w:pPr>
    </w:p>
    <w:p w14:paraId="2D890417">
      <w:pPr>
        <w:bidi w:val="0"/>
        <w:rPr>
          <w:rFonts w:hint="eastAsia"/>
          <w:lang w:val="en-US" w:eastAsia="zh-CN"/>
        </w:rPr>
      </w:pPr>
    </w:p>
    <w:p w14:paraId="20CC161E">
      <w:pPr>
        <w:bidi w:val="0"/>
        <w:rPr>
          <w:rFonts w:hint="eastAsia"/>
          <w:lang w:val="en-US" w:eastAsia="zh-CN"/>
        </w:rPr>
      </w:pPr>
    </w:p>
    <w:p w14:paraId="44F5A912">
      <w:pPr>
        <w:bidi w:val="0"/>
        <w:rPr>
          <w:rFonts w:hint="eastAsia"/>
          <w:lang w:val="en-US" w:eastAsia="zh-CN"/>
        </w:rPr>
      </w:pPr>
    </w:p>
    <w:p w14:paraId="4EF49390">
      <w:pPr>
        <w:bidi w:val="0"/>
        <w:rPr>
          <w:rFonts w:hint="eastAsia"/>
          <w:lang w:val="en-US" w:eastAsia="zh-CN"/>
        </w:rPr>
      </w:pPr>
    </w:p>
    <w:p w14:paraId="77D3FD25">
      <w:pPr>
        <w:bidi w:val="0"/>
        <w:rPr>
          <w:rFonts w:hint="eastAsia"/>
          <w:lang w:val="en-US" w:eastAsia="zh-CN"/>
        </w:rPr>
      </w:pPr>
    </w:p>
    <w:p w14:paraId="6BAE8C5A">
      <w:pPr>
        <w:bidi w:val="0"/>
        <w:rPr>
          <w:rFonts w:hint="eastAsia"/>
          <w:lang w:val="en-US" w:eastAsia="zh-CN"/>
        </w:rPr>
      </w:pPr>
    </w:p>
    <w:p w14:paraId="5D8ECEE5">
      <w:pPr>
        <w:bidi w:val="0"/>
        <w:rPr>
          <w:rFonts w:hint="eastAsia"/>
          <w:lang w:val="en-US" w:eastAsia="zh-CN"/>
        </w:rPr>
      </w:pPr>
    </w:p>
    <w:p w14:paraId="5D0BD01C">
      <w:pPr>
        <w:bidi w:val="0"/>
        <w:rPr>
          <w:rFonts w:hint="eastAsia"/>
          <w:lang w:val="en-US" w:eastAsia="zh-CN"/>
        </w:rPr>
      </w:pPr>
    </w:p>
    <w:p w14:paraId="41035478">
      <w:pPr>
        <w:bidi w:val="0"/>
        <w:rPr>
          <w:rFonts w:hint="eastAsia"/>
          <w:lang w:val="en-US" w:eastAsia="zh-CN"/>
        </w:rPr>
      </w:pPr>
    </w:p>
    <w:p w14:paraId="3DC90F3B">
      <w:pPr>
        <w:tabs>
          <w:tab w:val="left" w:pos="2687"/>
        </w:tabs>
        <w:bidi w:val="0"/>
        <w:jc w:val="left"/>
        <w:rPr>
          <w:rFonts w:hint="eastAsia"/>
          <w:lang w:val="en-US" w:eastAsia="zh-CN"/>
        </w:rPr>
      </w:pPr>
      <w:r>
        <w:rPr>
          <w:rFonts w:hint="eastAsia"/>
          <w:lang w:val="en-US" w:eastAsia="zh-CN"/>
        </w:rPr>
        <w:tab/>
      </w:r>
    </w:p>
    <w:p w14:paraId="5A211DCF">
      <w:pPr>
        <w:tabs>
          <w:tab w:val="left" w:pos="2687"/>
        </w:tabs>
        <w:bidi w:val="0"/>
        <w:jc w:val="left"/>
        <w:rPr>
          <w:rFonts w:hint="eastAsia"/>
          <w:lang w:val="en-US" w:eastAsia="zh-CN"/>
        </w:rPr>
      </w:pPr>
    </w:p>
    <w:p w14:paraId="133F23F6">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napToGrid/>
          <w:color w:val="000000" w:themeColor="text1"/>
          <w:kern w:val="0"/>
          <w:sz w:val="28"/>
          <w:szCs w:val="28"/>
          <w:lang w:val="en-US" w:eastAsia="zh-CN" w:bidi="ar-SA"/>
          <w14:textFill>
            <w14:solidFill>
              <w14:schemeClr w14:val="tx1"/>
            </w14:solidFill>
          </w14:textFill>
        </w:rPr>
      </w:pPr>
      <w:bookmarkStart w:id="581" w:name="_Toc31058"/>
      <w:bookmarkStart w:id="582" w:name="_Toc9061"/>
      <w:r>
        <w:rPr>
          <w:rFonts w:hint="eastAsia" w:ascii="宋体" w:hAnsi="宋体" w:eastAsia="宋体" w:cs="宋体"/>
          <w:b/>
          <w:sz w:val="44"/>
          <w:szCs w:val="44"/>
          <w:lang w:val="en-US" w:eastAsia="zh-CN"/>
        </w:rPr>
        <w:t>第11章与企业交换的意见</w:t>
      </w:r>
      <w:bookmarkEnd w:id="581"/>
      <w:bookmarkEnd w:id="582"/>
    </w:p>
    <w:p w14:paraId="2B65FE70">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t>评价组通过对本项目的现场实地调查和评价，对加油站提出了补充安全措施建议（见第8章），加油站负责人表示完全接受评价组的建议，在今后的经营中，认真落实评价组的补充安全措施建议，加强安全管理等工作，主要负责人、安全员按要求进行培训、取证换证</w:t>
      </w:r>
      <w:r>
        <w:rPr>
          <w:rFonts w:hint="eastAsia" w:ascii="宋体" w:hAnsi="宋体" w:cs="宋体"/>
          <w:snapToGrid/>
          <w:color w:val="000000" w:themeColor="text1"/>
          <w:kern w:val="0"/>
          <w:sz w:val="28"/>
          <w:szCs w:val="28"/>
          <w:shd w:val="clear" w:color="auto" w:fill="auto"/>
          <w:lang w:val="en-US" w:eastAsia="zh-CN" w:bidi="ar-SA"/>
          <w14:textFill>
            <w14:solidFill>
              <w14:schemeClr w14:val="tx1"/>
            </w14:solidFill>
          </w14:textFill>
        </w:rPr>
        <w:t>，</w:t>
      </w:r>
      <w:r>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t>安全标准化每年完成自评，自评报告上传管理系统，完善相关安全设施和措施，</w:t>
      </w:r>
      <w:r>
        <w:rPr>
          <w:rFonts w:hint="eastAsia" w:ascii="宋体" w:hAnsi="宋体" w:cs="宋体"/>
          <w:snapToGrid/>
          <w:color w:val="000000" w:themeColor="text1"/>
          <w:kern w:val="0"/>
          <w:sz w:val="28"/>
          <w:szCs w:val="28"/>
          <w:shd w:val="clear" w:color="auto" w:fill="auto"/>
          <w:lang w:val="en-US" w:eastAsia="zh-CN" w:bidi="ar-SA"/>
          <w14:textFill>
            <w14:solidFill>
              <w14:schemeClr w14:val="tx1"/>
            </w14:solidFill>
          </w14:textFill>
        </w:rPr>
        <w:t>尽快为职工购买工伤保险，</w:t>
      </w:r>
      <w:r>
        <w:rPr>
          <w:rFonts w:hint="eastAsia" w:ascii="宋体" w:hAnsi="宋体" w:eastAsia="宋体" w:cs="宋体"/>
          <w:snapToGrid/>
          <w:color w:val="000000" w:themeColor="text1"/>
          <w:kern w:val="0"/>
          <w:sz w:val="28"/>
          <w:szCs w:val="28"/>
          <w:shd w:val="clear" w:color="auto" w:fill="auto"/>
          <w:lang w:val="en-US" w:eastAsia="zh-CN" w:bidi="ar-SA"/>
          <w14:textFill>
            <w14:solidFill>
              <w14:schemeClr w14:val="tx1"/>
            </w14:solidFill>
          </w14:textFill>
        </w:rPr>
        <w:t>保持较好的安全经营条件</w:t>
      </w:r>
      <w:r>
        <w:rPr>
          <w:rFonts w:hint="eastAsia" w:ascii="宋体" w:hAnsi="宋体" w:cs="宋体"/>
          <w:snapToGrid/>
          <w:color w:val="000000" w:themeColor="text1"/>
          <w:kern w:val="0"/>
          <w:sz w:val="28"/>
          <w:szCs w:val="28"/>
          <w:shd w:val="clear" w:color="auto" w:fill="auto"/>
          <w:lang w:val="en-US" w:eastAsia="zh-CN" w:bidi="ar-SA"/>
          <w14:textFill>
            <w14:solidFill>
              <w14:schemeClr w14:val="tx1"/>
            </w14:solidFill>
          </w14:textFill>
        </w:rPr>
        <w:t>。</w:t>
      </w:r>
    </w:p>
    <w:p w14:paraId="3B686BC3">
      <w:pPr>
        <w:tabs>
          <w:tab w:val="left" w:pos="2687"/>
        </w:tabs>
        <w:bidi w:val="0"/>
        <w:jc w:val="left"/>
        <w:rPr>
          <w:rFonts w:hint="eastAsia"/>
          <w:lang w:val="en-US" w:eastAsia="zh-CN"/>
        </w:rPr>
      </w:pPr>
    </w:p>
    <w:sectPr>
      <w:footerReference r:id="rId10" w:type="default"/>
      <w:pgSz w:w="11906" w:h="16838"/>
      <w:pgMar w:top="1417" w:right="1134" w:bottom="1134" w:left="1587" w:header="737" w:footer="850"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_x0001_.">
    <w:altName w:val="Times New Roman"/>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D637">
    <w:pPr>
      <w:pStyle w:val="10"/>
      <w:tabs>
        <w:tab w:val="left" w:pos="3246"/>
        <w:tab w:val="clear" w:pos="4153"/>
      </w:tabs>
      <w:rPr>
        <w:rFonts w:hint="default" w:eastAsia="宋体"/>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84561">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CF84561">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4"/>
        <w:szCs w:val="24"/>
        <w:lang w:val="en-US" w:eastAsia="zh-CN"/>
      </w:rPr>
      <w:t>昭通市鼎安科技有限公司</w:t>
    </w:r>
    <w:r>
      <w:rPr>
        <w:rFonts w:hint="eastAsia"/>
        <w:sz w:val="24"/>
        <w:szCs w:val="24"/>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89A14">
    <w:pPr>
      <w:pStyle w:val="10"/>
      <w:tabs>
        <w:tab w:val="left" w:pos="3246"/>
        <w:tab w:val="clear" w:pos="4153"/>
      </w:tabs>
      <w:rPr>
        <w:rFonts w:hint="default" w:eastAsia="宋体"/>
        <w:sz w:val="24"/>
        <w:szCs w:val="24"/>
        <w:lang w:val="en-US" w:eastAsia="zh-CN"/>
      </w:rPr>
    </w:pPr>
    <w:r>
      <w:rPr>
        <w:rFonts w:hint="eastAsia"/>
        <w:sz w:val="24"/>
        <w:szCs w:val="24"/>
        <w:lang w:val="en-US" w:eastAsia="zh-CN"/>
      </w:rPr>
      <w:t>昭通市鼎安科技有限公司</w:t>
    </w:r>
    <w:r>
      <w:rPr>
        <w:rFonts w:hint="eastAsia"/>
        <w:sz w:val="24"/>
        <w:szCs w:val="24"/>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C396D">
    <w:pPr>
      <w:pStyle w:val="10"/>
      <w:tabs>
        <w:tab w:val="left" w:pos="3246"/>
        <w:tab w:val="clear" w:pos="4153"/>
      </w:tabs>
      <w:rPr>
        <w:rFonts w:hint="default" w:eastAsia="宋体"/>
        <w:sz w:val="24"/>
        <w:szCs w:val="24"/>
        <w:lang w:val="en-US" w:eastAsia="zh-CN"/>
      </w:rPr>
    </w:pPr>
    <w:r>
      <w:rPr>
        <w:rFonts w:hint="eastAsia"/>
        <w:sz w:val="24"/>
        <w:szCs w:val="24"/>
        <w:lang w:val="en-US" w:eastAsia="zh-CN"/>
      </w:rPr>
      <w:t>昭通市鼎安科技有限公司</w:t>
    </w:r>
    <w:r>
      <w:rPr>
        <w:rFonts w:hint="eastAsia"/>
        <w:sz w:val="24"/>
        <w:szCs w:val="24"/>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E6E5E">
    <w:pPr>
      <w:pStyle w:val="10"/>
      <w:tabs>
        <w:tab w:val="left" w:pos="3246"/>
        <w:tab w:val="clear" w:pos="4153"/>
      </w:tabs>
      <w:rPr>
        <w:rFonts w:hint="default" w:eastAsia="宋体"/>
        <w:sz w:val="24"/>
        <w:szCs w:val="24"/>
        <w:lang w:val="en-US" w:eastAsia="zh-CN"/>
      </w:rPr>
    </w:pPr>
    <w:r>
      <w:rPr>
        <w:rFonts w:hint="eastAsia"/>
        <w:sz w:val="24"/>
        <w:szCs w:val="24"/>
        <w:lang w:val="en-US" w:eastAsia="zh-CN"/>
      </w:rPr>
      <w:t>昭通市鼎安科技有限公司</w:t>
    </w:r>
    <w:r>
      <w:rPr>
        <w:rFonts w:hint="eastAsia"/>
        <w:sz w:val="24"/>
        <w:szCs w:val="24"/>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C20">
    <w:pPr>
      <w:pStyle w:val="10"/>
      <w:tabs>
        <w:tab w:val="left" w:pos="3246"/>
        <w:tab w:val="clear" w:pos="4153"/>
      </w:tabs>
      <w:rPr>
        <w:rFonts w:hint="default" w:eastAsia="宋体"/>
        <w:sz w:val="24"/>
        <w:szCs w:val="24"/>
        <w:lang w:val="en-US" w:eastAsia="zh-CN"/>
      </w:rPr>
    </w:pPr>
    <w:r>
      <w:rPr>
        <w:rFonts w:hint="eastAsia"/>
        <w:sz w:val="24"/>
        <w:szCs w:val="24"/>
        <w:lang w:val="en-US" w:eastAsia="zh-CN"/>
      </w:rPr>
      <w:t>昭通市鼎安科技有限公司</w:t>
    </w:r>
    <w:r>
      <w:rPr>
        <w:rFonts w:hint="eastAsia"/>
        <w:sz w:val="24"/>
        <w:szCs w:val="24"/>
        <w:lang w:val="en-US"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49E4">
    <w:pPr>
      <w:pStyle w:val="10"/>
      <w:tabs>
        <w:tab w:val="left" w:pos="3246"/>
        <w:tab w:val="clear" w:pos="4153"/>
      </w:tabs>
      <w:rPr>
        <w:rFonts w:hint="default" w:eastAsia="宋体"/>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E90D2">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27E90D2">
                    <w:pPr>
                      <w:pStyle w:val="10"/>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sz w:val="24"/>
        <w:szCs w:val="24"/>
        <w:lang w:val="en-US" w:eastAsia="zh-CN"/>
      </w:rPr>
      <w:t>昭通市鼎安科技有限公司</w:t>
    </w:r>
    <w:r>
      <w:rPr>
        <w:rFonts w:hint="eastAsia"/>
        <w:sz w:val="24"/>
        <w:szCs w:val="24"/>
        <w:lang w:val="en-US"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68FA8">
    <w:pPr>
      <w:pStyle w:val="10"/>
      <w:tabs>
        <w:tab w:val="left" w:pos="3246"/>
        <w:tab w:val="clear" w:pos="4153"/>
      </w:tabs>
      <w:rPr>
        <w:rFonts w:hint="default" w:eastAsia="宋体"/>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62617">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3D62617">
                    <w:pPr>
                      <w:pStyle w:val="10"/>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sz w:val="24"/>
        <w:szCs w:val="24"/>
        <w:lang w:val="en-US" w:eastAsia="zh-CN"/>
      </w:rPr>
      <w:t>昭通市鼎安科技有限公司</w:t>
    </w:r>
    <w:r>
      <w:rPr>
        <w:rFonts w:hint="eastAsia"/>
        <w:sz w:val="24"/>
        <w:szCs w:val="24"/>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5BC5">
    <w:pPr>
      <w:pStyle w:val="11"/>
      <w:pBdr>
        <w:bottom w:val="none" w:color="auto" w:sz="0" w:space="1"/>
      </w:pBdr>
    </w:pPr>
  </w:p>
  <w:p w14:paraId="270CEC83">
    <w:pPr>
      <w:pStyle w:val="11"/>
      <w:pBdr>
        <w:bottom w:val="single" w:color="auto" w:sz="4" w:space="1"/>
      </w:pBdr>
      <w:jc w:val="center"/>
      <w:rPr>
        <w:rFonts w:hint="default" w:eastAsia="宋体"/>
        <w:sz w:val="24"/>
        <w:szCs w:val="24"/>
        <w:lang w:val="en-US" w:eastAsia="zh-CN"/>
      </w:rPr>
    </w:pPr>
    <w:r>
      <w:rPr>
        <w:rFonts w:hint="eastAsia"/>
        <w:sz w:val="24"/>
        <w:szCs w:val="24"/>
        <w:lang w:val="en-US" w:eastAsia="zh-CN"/>
      </w:rPr>
      <w:t>兰坪县宏源经贸有限责任公司安全现状评价报告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29"/>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C9446B"/>
    <w:rsid w:val="001F7F7E"/>
    <w:rsid w:val="00BF706B"/>
    <w:rsid w:val="00E84814"/>
    <w:rsid w:val="018007C7"/>
    <w:rsid w:val="01BB7833"/>
    <w:rsid w:val="01BE587F"/>
    <w:rsid w:val="02497EAE"/>
    <w:rsid w:val="02ED6112"/>
    <w:rsid w:val="03590625"/>
    <w:rsid w:val="038832EC"/>
    <w:rsid w:val="04163446"/>
    <w:rsid w:val="042518DB"/>
    <w:rsid w:val="049C7DEF"/>
    <w:rsid w:val="04B53D1B"/>
    <w:rsid w:val="04D255BF"/>
    <w:rsid w:val="051756C8"/>
    <w:rsid w:val="05BE78F1"/>
    <w:rsid w:val="066E1982"/>
    <w:rsid w:val="06732DD2"/>
    <w:rsid w:val="06846D8D"/>
    <w:rsid w:val="06E710CA"/>
    <w:rsid w:val="06E94E42"/>
    <w:rsid w:val="07691ADF"/>
    <w:rsid w:val="076E0EC2"/>
    <w:rsid w:val="07D050E5"/>
    <w:rsid w:val="08A234FA"/>
    <w:rsid w:val="08BA6A96"/>
    <w:rsid w:val="08BB3F2C"/>
    <w:rsid w:val="08D15B8E"/>
    <w:rsid w:val="090A5C60"/>
    <w:rsid w:val="0A193000"/>
    <w:rsid w:val="0A687F9E"/>
    <w:rsid w:val="0A6B53C8"/>
    <w:rsid w:val="0ADA51CD"/>
    <w:rsid w:val="0B1F52D6"/>
    <w:rsid w:val="0BA37CB5"/>
    <w:rsid w:val="0C517A45"/>
    <w:rsid w:val="0C542D5E"/>
    <w:rsid w:val="0C5F7D7E"/>
    <w:rsid w:val="0C76592B"/>
    <w:rsid w:val="0C874EE1"/>
    <w:rsid w:val="0DAB4BFF"/>
    <w:rsid w:val="0DEA1BCB"/>
    <w:rsid w:val="0E257D00"/>
    <w:rsid w:val="0E4D215A"/>
    <w:rsid w:val="0E7A1C24"/>
    <w:rsid w:val="0F0071CD"/>
    <w:rsid w:val="0F1D38DB"/>
    <w:rsid w:val="0F22536C"/>
    <w:rsid w:val="0F360E40"/>
    <w:rsid w:val="0F841BAC"/>
    <w:rsid w:val="0FA062BA"/>
    <w:rsid w:val="0FCD3028"/>
    <w:rsid w:val="10284C2D"/>
    <w:rsid w:val="10BC2ED4"/>
    <w:rsid w:val="11457119"/>
    <w:rsid w:val="11911E2E"/>
    <w:rsid w:val="122430B0"/>
    <w:rsid w:val="12A10CC7"/>
    <w:rsid w:val="12BD781E"/>
    <w:rsid w:val="13280AA0"/>
    <w:rsid w:val="135875D7"/>
    <w:rsid w:val="136441CE"/>
    <w:rsid w:val="13CE5AEB"/>
    <w:rsid w:val="14595103"/>
    <w:rsid w:val="149503B7"/>
    <w:rsid w:val="14C111AC"/>
    <w:rsid w:val="14D62EA9"/>
    <w:rsid w:val="14F612E8"/>
    <w:rsid w:val="151B22C8"/>
    <w:rsid w:val="15774ACC"/>
    <w:rsid w:val="169F1079"/>
    <w:rsid w:val="16B965DF"/>
    <w:rsid w:val="16FA09A5"/>
    <w:rsid w:val="17275B8E"/>
    <w:rsid w:val="1777233C"/>
    <w:rsid w:val="179D1A5D"/>
    <w:rsid w:val="17D31922"/>
    <w:rsid w:val="17EE3555"/>
    <w:rsid w:val="182F467F"/>
    <w:rsid w:val="18FF22A3"/>
    <w:rsid w:val="198F3627"/>
    <w:rsid w:val="199C5D44"/>
    <w:rsid w:val="19D43730"/>
    <w:rsid w:val="19EF6955"/>
    <w:rsid w:val="19FE07AD"/>
    <w:rsid w:val="1A082804"/>
    <w:rsid w:val="1A266D7C"/>
    <w:rsid w:val="1A9058A9"/>
    <w:rsid w:val="1B040045"/>
    <w:rsid w:val="1B6A60FA"/>
    <w:rsid w:val="1BB151EB"/>
    <w:rsid w:val="1BB76968"/>
    <w:rsid w:val="1BE063BC"/>
    <w:rsid w:val="1C224F89"/>
    <w:rsid w:val="1C47468D"/>
    <w:rsid w:val="1CC161ED"/>
    <w:rsid w:val="1D3764AF"/>
    <w:rsid w:val="1DB96EC4"/>
    <w:rsid w:val="1E627229"/>
    <w:rsid w:val="1F30765A"/>
    <w:rsid w:val="1FA53BA4"/>
    <w:rsid w:val="1FC85AE5"/>
    <w:rsid w:val="20087C8F"/>
    <w:rsid w:val="20141975"/>
    <w:rsid w:val="202645B9"/>
    <w:rsid w:val="202F7912"/>
    <w:rsid w:val="21025026"/>
    <w:rsid w:val="211B39F2"/>
    <w:rsid w:val="213351E0"/>
    <w:rsid w:val="21867A05"/>
    <w:rsid w:val="219914E7"/>
    <w:rsid w:val="22873869"/>
    <w:rsid w:val="22E449E3"/>
    <w:rsid w:val="23337719"/>
    <w:rsid w:val="234436D4"/>
    <w:rsid w:val="23675615"/>
    <w:rsid w:val="236A568F"/>
    <w:rsid w:val="23892A61"/>
    <w:rsid w:val="23AD1279"/>
    <w:rsid w:val="23E40A13"/>
    <w:rsid w:val="242C5369"/>
    <w:rsid w:val="24DE5462"/>
    <w:rsid w:val="251A293E"/>
    <w:rsid w:val="25873D4C"/>
    <w:rsid w:val="25BA5ED0"/>
    <w:rsid w:val="266B0F78"/>
    <w:rsid w:val="27133AE9"/>
    <w:rsid w:val="271B474C"/>
    <w:rsid w:val="274041B2"/>
    <w:rsid w:val="27595274"/>
    <w:rsid w:val="276500BD"/>
    <w:rsid w:val="28222F0F"/>
    <w:rsid w:val="285E0D94"/>
    <w:rsid w:val="28843333"/>
    <w:rsid w:val="288A7DDB"/>
    <w:rsid w:val="28C95331"/>
    <w:rsid w:val="291A4E2F"/>
    <w:rsid w:val="291C47AB"/>
    <w:rsid w:val="29387837"/>
    <w:rsid w:val="29BA2D62"/>
    <w:rsid w:val="2A377AEF"/>
    <w:rsid w:val="2B092473"/>
    <w:rsid w:val="2BAF1907"/>
    <w:rsid w:val="2BB67139"/>
    <w:rsid w:val="2BBD7DCB"/>
    <w:rsid w:val="2C047EA4"/>
    <w:rsid w:val="2CC87124"/>
    <w:rsid w:val="2CD07D87"/>
    <w:rsid w:val="2D26209C"/>
    <w:rsid w:val="2D480265"/>
    <w:rsid w:val="2E673ED3"/>
    <w:rsid w:val="2EE43FBD"/>
    <w:rsid w:val="2F2820FC"/>
    <w:rsid w:val="2F2A5E74"/>
    <w:rsid w:val="2F560A17"/>
    <w:rsid w:val="2F9E23BE"/>
    <w:rsid w:val="2FB120F1"/>
    <w:rsid w:val="30AE6631"/>
    <w:rsid w:val="30CD2F5B"/>
    <w:rsid w:val="30F46739"/>
    <w:rsid w:val="313F54DB"/>
    <w:rsid w:val="31902471"/>
    <w:rsid w:val="31BE0AF5"/>
    <w:rsid w:val="325356E2"/>
    <w:rsid w:val="32655415"/>
    <w:rsid w:val="32892EB1"/>
    <w:rsid w:val="32CF3C28"/>
    <w:rsid w:val="330D05EF"/>
    <w:rsid w:val="332827DD"/>
    <w:rsid w:val="333E5A10"/>
    <w:rsid w:val="33470530"/>
    <w:rsid w:val="33F86541"/>
    <w:rsid w:val="33F96B40"/>
    <w:rsid w:val="34742AAA"/>
    <w:rsid w:val="349D49F2"/>
    <w:rsid w:val="356814A4"/>
    <w:rsid w:val="35B91D00"/>
    <w:rsid w:val="3676199F"/>
    <w:rsid w:val="36B83A43"/>
    <w:rsid w:val="36BA1E1E"/>
    <w:rsid w:val="36CF5E7F"/>
    <w:rsid w:val="36F950B8"/>
    <w:rsid w:val="37046FAB"/>
    <w:rsid w:val="375C0B95"/>
    <w:rsid w:val="37735EDE"/>
    <w:rsid w:val="37DF3574"/>
    <w:rsid w:val="384C4937"/>
    <w:rsid w:val="39303FF3"/>
    <w:rsid w:val="39602492"/>
    <w:rsid w:val="39C07196"/>
    <w:rsid w:val="39D23390"/>
    <w:rsid w:val="3A8A25D7"/>
    <w:rsid w:val="3AA477EB"/>
    <w:rsid w:val="3B091033"/>
    <w:rsid w:val="3C017F5D"/>
    <w:rsid w:val="3C6D31AC"/>
    <w:rsid w:val="3CA803D8"/>
    <w:rsid w:val="3CC24098"/>
    <w:rsid w:val="3D056C13"/>
    <w:rsid w:val="3D4A148F"/>
    <w:rsid w:val="3D525754"/>
    <w:rsid w:val="3DD4014F"/>
    <w:rsid w:val="3E083824"/>
    <w:rsid w:val="3E135D25"/>
    <w:rsid w:val="3E1877DF"/>
    <w:rsid w:val="3E3012B5"/>
    <w:rsid w:val="3E66679D"/>
    <w:rsid w:val="3EB7530E"/>
    <w:rsid w:val="3ECC2AA4"/>
    <w:rsid w:val="3ED25BE0"/>
    <w:rsid w:val="3EEF2D10"/>
    <w:rsid w:val="3EF64D7C"/>
    <w:rsid w:val="3F033FEC"/>
    <w:rsid w:val="3F0C78C4"/>
    <w:rsid w:val="3F797C95"/>
    <w:rsid w:val="3F9133A5"/>
    <w:rsid w:val="3FC512A1"/>
    <w:rsid w:val="40D43E92"/>
    <w:rsid w:val="40F2733A"/>
    <w:rsid w:val="412744FF"/>
    <w:rsid w:val="41EC3DB8"/>
    <w:rsid w:val="420C765B"/>
    <w:rsid w:val="422A188F"/>
    <w:rsid w:val="4258464E"/>
    <w:rsid w:val="425A6618"/>
    <w:rsid w:val="425D7EB7"/>
    <w:rsid w:val="42976F25"/>
    <w:rsid w:val="432A7D99"/>
    <w:rsid w:val="43340C18"/>
    <w:rsid w:val="4363143A"/>
    <w:rsid w:val="43A044FF"/>
    <w:rsid w:val="43A22025"/>
    <w:rsid w:val="43B65AD0"/>
    <w:rsid w:val="44076EEB"/>
    <w:rsid w:val="4427077C"/>
    <w:rsid w:val="444529B0"/>
    <w:rsid w:val="44AB315B"/>
    <w:rsid w:val="44B25C25"/>
    <w:rsid w:val="44C05764"/>
    <w:rsid w:val="4546413B"/>
    <w:rsid w:val="460C19D8"/>
    <w:rsid w:val="46333408"/>
    <w:rsid w:val="463827CD"/>
    <w:rsid w:val="47087C6A"/>
    <w:rsid w:val="471975D2"/>
    <w:rsid w:val="47287BC0"/>
    <w:rsid w:val="473C0B9A"/>
    <w:rsid w:val="47637D1D"/>
    <w:rsid w:val="476B6BD2"/>
    <w:rsid w:val="476F66C2"/>
    <w:rsid w:val="47A04ACD"/>
    <w:rsid w:val="47BA5463"/>
    <w:rsid w:val="47D46AAB"/>
    <w:rsid w:val="47EE2D4C"/>
    <w:rsid w:val="47F92430"/>
    <w:rsid w:val="48270D4B"/>
    <w:rsid w:val="48895562"/>
    <w:rsid w:val="48E94D58"/>
    <w:rsid w:val="494E0559"/>
    <w:rsid w:val="498F4DFA"/>
    <w:rsid w:val="49B24525"/>
    <w:rsid w:val="49DE5E98"/>
    <w:rsid w:val="4A176B9D"/>
    <w:rsid w:val="4A421E6C"/>
    <w:rsid w:val="4A431740"/>
    <w:rsid w:val="4A6175FC"/>
    <w:rsid w:val="4A842484"/>
    <w:rsid w:val="4A993A56"/>
    <w:rsid w:val="4ABA7D49"/>
    <w:rsid w:val="4B6D2F19"/>
    <w:rsid w:val="4B9E7576"/>
    <w:rsid w:val="4BAB52EA"/>
    <w:rsid w:val="4BCB40E3"/>
    <w:rsid w:val="4BDE3E16"/>
    <w:rsid w:val="4C7107E7"/>
    <w:rsid w:val="4C7B3413"/>
    <w:rsid w:val="4CE94821"/>
    <w:rsid w:val="4D5819A6"/>
    <w:rsid w:val="4E383C7B"/>
    <w:rsid w:val="4EB32ADE"/>
    <w:rsid w:val="4EC70B92"/>
    <w:rsid w:val="50A56CB1"/>
    <w:rsid w:val="5144296E"/>
    <w:rsid w:val="51A07C00"/>
    <w:rsid w:val="51AE428B"/>
    <w:rsid w:val="526F3A1A"/>
    <w:rsid w:val="52754DA9"/>
    <w:rsid w:val="527E5A0B"/>
    <w:rsid w:val="531E2D4A"/>
    <w:rsid w:val="5357569C"/>
    <w:rsid w:val="53F65BA6"/>
    <w:rsid w:val="54102FDB"/>
    <w:rsid w:val="541F4FCC"/>
    <w:rsid w:val="54A83213"/>
    <w:rsid w:val="54B0031A"/>
    <w:rsid w:val="55A33F88"/>
    <w:rsid w:val="560C1580"/>
    <w:rsid w:val="56301712"/>
    <w:rsid w:val="573963A5"/>
    <w:rsid w:val="57D52571"/>
    <w:rsid w:val="57E26A3C"/>
    <w:rsid w:val="57F329F7"/>
    <w:rsid w:val="58045C41"/>
    <w:rsid w:val="589C5765"/>
    <w:rsid w:val="59024494"/>
    <w:rsid w:val="591946E0"/>
    <w:rsid w:val="59F667CF"/>
    <w:rsid w:val="5A755946"/>
    <w:rsid w:val="5ACD0F05"/>
    <w:rsid w:val="5B0867BA"/>
    <w:rsid w:val="5B8B1199"/>
    <w:rsid w:val="5B920779"/>
    <w:rsid w:val="5C501309"/>
    <w:rsid w:val="5C6B34A4"/>
    <w:rsid w:val="5CDC6150"/>
    <w:rsid w:val="5D213B7C"/>
    <w:rsid w:val="5DD166EA"/>
    <w:rsid w:val="5DF474C9"/>
    <w:rsid w:val="5E59557E"/>
    <w:rsid w:val="5EC450EE"/>
    <w:rsid w:val="5F705A8F"/>
    <w:rsid w:val="5F925054"/>
    <w:rsid w:val="6085265B"/>
    <w:rsid w:val="60AE3960"/>
    <w:rsid w:val="60C26958"/>
    <w:rsid w:val="60EC26DA"/>
    <w:rsid w:val="61063A3A"/>
    <w:rsid w:val="61273712"/>
    <w:rsid w:val="614B7400"/>
    <w:rsid w:val="619C7C5C"/>
    <w:rsid w:val="61D03DA9"/>
    <w:rsid w:val="61EB5FD3"/>
    <w:rsid w:val="61F21F72"/>
    <w:rsid w:val="61FF01EB"/>
    <w:rsid w:val="62344338"/>
    <w:rsid w:val="627F4B48"/>
    <w:rsid w:val="62DE7EE0"/>
    <w:rsid w:val="639C1186"/>
    <w:rsid w:val="63BA261B"/>
    <w:rsid w:val="63CE60C7"/>
    <w:rsid w:val="6410048D"/>
    <w:rsid w:val="648D1ADE"/>
    <w:rsid w:val="64EF4547"/>
    <w:rsid w:val="64FE4734"/>
    <w:rsid w:val="653A7EB8"/>
    <w:rsid w:val="65A81AA0"/>
    <w:rsid w:val="65DD0843"/>
    <w:rsid w:val="66171FA7"/>
    <w:rsid w:val="6626043C"/>
    <w:rsid w:val="662B7800"/>
    <w:rsid w:val="663366B5"/>
    <w:rsid w:val="6635242D"/>
    <w:rsid w:val="66630D48"/>
    <w:rsid w:val="668C4743"/>
    <w:rsid w:val="669453A6"/>
    <w:rsid w:val="6734111D"/>
    <w:rsid w:val="681F15E7"/>
    <w:rsid w:val="68533AD5"/>
    <w:rsid w:val="68B95597"/>
    <w:rsid w:val="68BE79F0"/>
    <w:rsid w:val="68C857DA"/>
    <w:rsid w:val="68ED5241"/>
    <w:rsid w:val="691D5B26"/>
    <w:rsid w:val="693E431E"/>
    <w:rsid w:val="69A41DA4"/>
    <w:rsid w:val="69B0699A"/>
    <w:rsid w:val="69D13C2E"/>
    <w:rsid w:val="69E76134"/>
    <w:rsid w:val="69F6558F"/>
    <w:rsid w:val="6A2D325C"/>
    <w:rsid w:val="6A3D7B02"/>
    <w:rsid w:val="6A543887"/>
    <w:rsid w:val="6A655780"/>
    <w:rsid w:val="6AE663EC"/>
    <w:rsid w:val="6B2F38EF"/>
    <w:rsid w:val="6B673089"/>
    <w:rsid w:val="6C44161C"/>
    <w:rsid w:val="6C4E249B"/>
    <w:rsid w:val="6C845C64"/>
    <w:rsid w:val="6C9E0E60"/>
    <w:rsid w:val="6CD20649"/>
    <w:rsid w:val="6DE035C6"/>
    <w:rsid w:val="6E255A9E"/>
    <w:rsid w:val="6E3F653F"/>
    <w:rsid w:val="6E8D0C75"/>
    <w:rsid w:val="6F0155A2"/>
    <w:rsid w:val="6F1057E5"/>
    <w:rsid w:val="6F1D35E4"/>
    <w:rsid w:val="6F3C5F3C"/>
    <w:rsid w:val="7003534A"/>
    <w:rsid w:val="70182BA3"/>
    <w:rsid w:val="704D1B7C"/>
    <w:rsid w:val="705931BC"/>
    <w:rsid w:val="705F4C76"/>
    <w:rsid w:val="708C3591"/>
    <w:rsid w:val="70CB230C"/>
    <w:rsid w:val="71754026"/>
    <w:rsid w:val="718F6E95"/>
    <w:rsid w:val="71A64DA4"/>
    <w:rsid w:val="720C498A"/>
    <w:rsid w:val="72693B8A"/>
    <w:rsid w:val="728D332F"/>
    <w:rsid w:val="72BF3E11"/>
    <w:rsid w:val="73F41F8C"/>
    <w:rsid w:val="73F9791B"/>
    <w:rsid w:val="743708F7"/>
    <w:rsid w:val="747C1AD0"/>
    <w:rsid w:val="75874327"/>
    <w:rsid w:val="76530DD9"/>
    <w:rsid w:val="768E2102"/>
    <w:rsid w:val="76C9446B"/>
    <w:rsid w:val="76EC08E6"/>
    <w:rsid w:val="77354636"/>
    <w:rsid w:val="77444BC6"/>
    <w:rsid w:val="78915BE9"/>
    <w:rsid w:val="789631FF"/>
    <w:rsid w:val="78B24E6F"/>
    <w:rsid w:val="78CC306B"/>
    <w:rsid w:val="78F56274"/>
    <w:rsid w:val="795D3D1D"/>
    <w:rsid w:val="7962004E"/>
    <w:rsid w:val="79905EA0"/>
    <w:rsid w:val="79E81839"/>
    <w:rsid w:val="79FF3026"/>
    <w:rsid w:val="7A106FE1"/>
    <w:rsid w:val="7A2A00A3"/>
    <w:rsid w:val="7AC51B7A"/>
    <w:rsid w:val="7AE2097E"/>
    <w:rsid w:val="7AF97A75"/>
    <w:rsid w:val="7B3311D9"/>
    <w:rsid w:val="7B9B0B2D"/>
    <w:rsid w:val="7BDF310F"/>
    <w:rsid w:val="7BF546E1"/>
    <w:rsid w:val="7C3572F9"/>
    <w:rsid w:val="7C865339"/>
    <w:rsid w:val="7C965F62"/>
    <w:rsid w:val="7D02613C"/>
    <w:rsid w:val="7D3134F6"/>
    <w:rsid w:val="7D554B4A"/>
    <w:rsid w:val="7D5D6F31"/>
    <w:rsid w:val="7DB662ED"/>
    <w:rsid w:val="7E1E73E9"/>
    <w:rsid w:val="7E3A462D"/>
    <w:rsid w:val="7E576F8D"/>
    <w:rsid w:val="7E665CC7"/>
    <w:rsid w:val="7E7223E0"/>
    <w:rsid w:val="7E76370D"/>
    <w:rsid w:val="7F995383"/>
    <w:rsid w:val="7FBA18EE"/>
    <w:rsid w:val="7FD06A75"/>
    <w:rsid w:val="7FF25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0"/>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Document Map"/>
    <w:basedOn w:val="1"/>
    <w:qFormat/>
    <w:uiPriority w:val="0"/>
    <w:pPr>
      <w:shd w:val="clear" w:color="auto" w:fill="000080"/>
    </w:pPr>
  </w:style>
  <w:style w:type="paragraph" w:styleId="7">
    <w:name w:val="Body Text"/>
    <w:basedOn w:val="1"/>
    <w:qFormat/>
    <w:uiPriority w:val="99"/>
    <w:rPr>
      <w:color w:val="000000"/>
      <w:sz w:val="28"/>
      <w:szCs w:val="18"/>
    </w:rPr>
  </w:style>
  <w:style w:type="paragraph" w:styleId="8">
    <w:name w:val="Body Text Indent"/>
    <w:basedOn w:val="1"/>
    <w:next w:val="7"/>
    <w:qFormat/>
    <w:uiPriority w:val="0"/>
    <w:pPr>
      <w:spacing w:after="120"/>
      <w:ind w:left="420" w:leftChars="20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5">
    <w:name w:val="Body Text First Indent 2"/>
    <w:basedOn w:val="8"/>
    <w:next w:val="1"/>
    <w:qFormat/>
    <w:uiPriority w:val="99"/>
    <w:pPr>
      <w:adjustRightInd/>
      <w:spacing w:after="120" w:line="240" w:lineRule="auto"/>
      <w:ind w:left="420" w:leftChars="200" w:firstLine="420" w:firstLineChars="200"/>
      <w:jc w:val="both"/>
      <w:textAlignment w:val="auto"/>
    </w:pPr>
    <w:rPr>
      <w:kern w:val="2"/>
      <w:sz w:val="21"/>
      <w:szCs w:val="22"/>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paragraph" w:customStyle="1" w:styleId="21">
    <w:name w:val="首行缩进"/>
    <w:basedOn w:val="1"/>
    <w:qFormat/>
    <w:uiPriority w:val="0"/>
    <w:pPr>
      <w:snapToGrid w:val="0"/>
      <w:spacing w:line="360" w:lineRule="auto"/>
      <w:ind w:firstLine="482"/>
    </w:pPr>
    <w:rPr>
      <w:rFonts w:ascii="宋体" w:cs="宋体"/>
      <w:sz w:val="28"/>
      <w:szCs w:val="28"/>
    </w:rPr>
  </w:style>
  <w:style w:type="paragraph" w:customStyle="1" w:styleId="22">
    <w:name w:val="Default"/>
    <w:basedOn w:val="23"/>
    <w:next w:val="24"/>
    <w:qFormat/>
    <w:uiPriority w:val="0"/>
    <w:pPr>
      <w:widowControl w:val="0"/>
      <w:autoSpaceDE w:val="0"/>
      <w:autoSpaceDN w:val="0"/>
      <w:adjustRightInd w:val="0"/>
    </w:pPr>
    <w:rPr>
      <w:rFonts w:ascii="宋体_x0001_." w:hAnsi="Times New Roman" w:eastAsia="宋体_x0001_." w:cs="宋体_x0001_."/>
      <w:color w:val="000000"/>
      <w:sz w:val="24"/>
      <w:szCs w:val="24"/>
      <w:lang w:val="en-US" w:eastAsia="zh-CN" w:bidi="ar-SA"/>
    </w:rPr>
  </w:style>
  <w:style w:type="paragraph" w:customStyle="1" w:styleId="23">
    <w:name w:val="纯文本1"/>
    <w:qFormat/>
    <w:uiPriority w:val="0"/>
    <w:pPr>
      <w:widowControl w:val="0"/>
      <w:adjustRightInd w:val="0"/>
      <w:spacing w:line="300" w:lineRule="auto"/>
      <w:jc w:val="both"/>
      <w:textAlignment w:val="baseline"/>
    </w:pPr>
    <w:rPr>
      <w:rFonts w:ascii="宋体" w:hAnsi="Courier New" w:eastAsia="宋体" w:cs="Times New Roman"/>
      <w:kern w:val="2"/>
      <w:sz w:val="21"/>
      <w:lang w:val="en-US" w:eastAsia="zh-CN" w:bidi="ar-SA"/>
    </w:rPr>
  </w:style>
  <w:style w:type="paragraph" w:customStyle="1" w:styleId="24">
    <w:name w:val="标题4"/>
    <w:basedOn w:val="5"/>
    <w:next w:val="25"/>
    <w:qFormat/>
    <w:uiPriority w:val="0"/>
    <w:pPr>
      <w:keepNext w:val="0"/>
      <w:keepLines w:val="0"/>
      <w:adjustRightInd w:val="0"/>
      <w:snapToGrid w:val="0"/>
      <w:spacing w:line="600" w:lineRule="exact"/>
    </w:pPr>
    <w:rPr>
      <w:rFonts w:ascii="Times New Roman" w:hAnsi="宋体" w:eastAsia="宋体" w:cs="Times New Roman"/>
      <w:szCs w:val="28"/>
    </w:rPr>
  </w:style>
  <w:style w:type="paragraph" w:customStyle="1" w:styleId="25">
    <w:name w:val="Char1"/>
    <w:basedOn w:val="1"/>
    <w:next w:val="26"/>
    <w:qFormat/>
    <w:uiPriority w:val="0"/>
  </w:style>
  <w:style w:type="paragraph" w:customStyle="1" w:styleId="26">
    <w:name w:val="Char"/>
    <w:basedOn w:val="6"/>
    <w:next w:val="27"/>
    <w:semiHidden/>
    <w:qFormat/>
    <w:uiPriority w:val="0"/>
    <w:pPr>
      <w:spacing w:line="480" w:lineRule="exact"/>
    </w:pPr>
    <w:rPr>
      <w:sz w:val="28"/>
    </w:rPr>
  </w:style>
  <w:style w:type="paragraph" w:customStyle="1" w:styleId="27">
    <w:name w:val="首行缩进加粗"/>
    <w:basedOn w:val="21"/>
    <w:next w:val="28"/>
    <w:qFormat/>
    <w:uiPriority w:val="0"/>
    <w:pPr>
      <w:spacing w:line="360" w:lineRule="auto"/>
      <w:ind w:left="482" w:firstLine="4834"/>
    </w:pPr>
    <w:rPr>
      <w:rFonts w:ascii="宋体"/>
    </w:rPr>
  </w:style>
  <w:style w:type="paragraph" w:customStyle="1" w:styleId="28">
    <w:name w:val="四级条标题"/>
    <w:basedOn w:val="29"/>
    <w:next w:val="4"/>
    <w:qFormat/>
    <w:uiPriority w:val="0"/>
    <w:pPr>
      <w:spacing w:before="50" w:after="50"/>
      <w:ind w:left="1080" w:firstLine="14"/>
      <w:outlineLvl w:val="5"/>
    </w:pPr>
  </w:style>
  <w:style w:type="paragraph" w:customStyle="1" w:styleId="29">
    <w:name w:val="三级条标题"/>
    <w:basedOn w:val="30"/>
    <w:next w:val="1"/>
    <w:qFormat/>
    <w:uiPriority w:val="0"/>
    <w:pPr>
      <w:numPr>
        <w:ilvl w:val="4"/>
        <w:numId w:val="1"/>
      </w:numPr>
      <w:ind w:left="945"/>
      <w:jc w:val="both"/>
      <w:outlineLvl w:val="4"/>
    </w:pPr>
    <w:rPr>
      <w:rFonts w:ascii="黑体" w:hAnsi="Calibri" w:eastAsia="黑体" w:cs="Times New Roman"/>
      <w:sz w:val="21"/>
      <w:lang w:val="en-US" w:eastAsia="zh-CN" w:bidi="ar-SA"/>
    </w:rPr>
  </w:style>
  <w:style w:type="paragraph" w:customStyle="1" w:styleId="30">
    <w:name w:val="二级条标题"/>
    <w:basedOn w:val="31"/>
    <w:next w:val="1"/>
    <w:qFormat/>
    <w:uiPriority w:val="0"/>
    <w:pPr>
      <w:spacing w:before="0" w:beforeLines="0" w:after="0" w:afterLines="0"/>
      <w:ind w:left="945"/>
      <w:jc w:val="both"/>
      <w:outlineLvl w:val="3"/>
    </w:pPr>
    <w:rPr>
      <w:rFonts w:ascii="黑体" w:hAnsi="Calibri" w:eastAsia="黑体" w:cs="Times New Roman"/>
      <w:sz w:val="21"/>
      <w:lang w:val="en-US" w:eastAsia="zh-CN" w:bidi="ar-SA"/>
    </w:rPr>
  </w:style>
  <w:style w:type="paragraph" w:customStyle="1" w:styleId="31">
    <w:name w:val="一级条标题"/>
    <w:basedOn w:val="32"/>
    <w:next w:val="1"/>
    <w:qFormat/>
    <w:uiPriority w:val="0"/>
    <w:pPr>
      <w:widowControl/>
      <w:outlineLvl w:val="2"/>
    </w:pPr>
    <w:rPr>
      <w:rFonts w:ascii="黑体" w:eastAsia="黑体"/>
      <w:kern w:val="0"/>
    </w:rPr>
  </w:style>
  <w:style w:type="paragraph" w:customStyle="1" w:styleId="32">
    <w:name w:val="章标题"/>
    <w:next w:val="1"/>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33">
    <w:name w:val="表头1023"/>
    <w:basedOn w:val="1"/>
    <w:qFormat/>
    <w:uiPriority w:val="0"/>
    <w:pPr>
      <w:adjustRightInd w:val="0"/>
      <w:snapToGrid w:val="0"/>
      <w:spacing w:line="360" w:lineRule="auto"/>
      <w:jc w:val="center"/>
    </w:pPr>
    <w:rPr>
      <w:rFonts w:ascii="宋体" w:hAnsi="宋体"/>
      <w:color w:val="000000"/>
      <w:sz w:val="28"/>
      <w:szCs w:val="28"/>
    </w:rPr>
  </w:style>
  <w:style w:type="paragraph" w:customStyle="1" w:styleId="34">
    <w:name w:val="填表4小中单倍行距"/>
    <w:basedOn w:val="35"/>
    <w:qFormat/>
    <w:uiPriority w:val="0"/>
    <w:rPr>
      <w:szCs w:val="20"/>
    </w:rPr>
  </w:style>
  <w:style w:type="paragraph" w:customStyle="1" w:styleId="35">
    <w:name w:val="填表4小中2倍行距"/>
    <w:basedOn w:val="36"/>
    <w:qFormat/>
    <w:uiPriority w:val="0"/>
    <w:pPr>
      <w:spacing w:line="480" w:lineRule="auto"/>
    </w:pPr>
    <w:rPr>
      <w:sz w:val="24"/>
    </w:rPr>
  </w:style>
  <w:style w:type="paragraph" w:customStyle="1" w:styleId="36">
    <w:name w:val="填表4中"/>
    <w:basedOn w:val="1"/>
    <w:next w:val="1"/>
    <w:qFormat/>
    <w:uiPriority w:val="0"/>
    <w:pPr>
      <w:jc w:val="center"/>
    </w:pPr>
    <w:rPr>
      <w:rFonts w:ascii="宋体" w:cs="宋体"/>
      <w:sz w:val="28"/>
      <w:szCs w:val="28"/>
    </w:rPr>
  </w:style>
  <w:style w:type="paragraph" w:customStyle="1" w:styleId="37">
    <w:name w:val="表格"/>
    <w:basedOn w:val="38"/>
    <w:next w:val="39"/>
    <w:qFormat/>
    <w:uiPriority w:val="0"/>
    <w:pPr>
      <w:spacing w:line="400" w:lineRule="exact"/>
      <w:ind w:left="210" w:leftChars="100" w:right="210" w:rightChars="100"/>
      <w:jc w:val="center"/>
    </w:pPr>
    <w:rPr>
      <w:rFonts w:ascii="Arial Narrow" w:hAnsi="Arial Narrow"/>
      <w:szCs w:val="32"/>
    </w:rPr>
  </w:style>
  <w:style w:type="paragraph" w:styleId="3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报告正文"/>
    <w:basedOn w:val="1"/>
    <w:qFormat/>
    <w:uiPriority w:val="0"/>
    <w:pPr>
      <w:spacing w:line="500" w:lineRule="exact"/>
      <w:ind w:firstLine="200" w:firstLineChars="200"/>
      <w:jc w:val="left"/>
    </w:pPr>
    <w:rPr>
      <w:rFonts w:eastAsia="仿宋_GB2312"/>
      <w:sz w:val="28"/>
    </w:rPr>
  </w:style>
  <w:style w:type="character" w:customStyle="1" w:styleId="40">
    <w:name w:val="标题 3 Char"/>
    <w:link w:val="4"/>
    <w:qFormat/>
    <w:uiPriority w:val="0"/>
    <w:rPr>
      <w:b/>
      <w:sz w:val="32"/>
    </w:rPr>
  </w:style>
  <w:style w:type="table" w:customStyle="1" w:styleId="41">
    <w:name w:val="Table Normal"/>
    <w:autoRedefine/>
    <w:semiHidden/>
    <w:unhideWhenUsed/>
    <w:qFormat/>
    <w:uiPriority w:val="0"/>
    <w:tblPr>
      <w:tblCellMar>
        <w:top w:w="0" w:type="dxa"/>
        <w:left w:w="0" w:type="dxa"/>
        <w:bottom w:w="0" w:type="dxa"/>
        <w:right w:w="0" w:type="dxa"/>
      </w:tblCellMar>
    </w:tblPr>
  </w:style>
  <w:style w:type="paragraph" w:customStyle="1" w:styleId="42">
    <w:name w:val="Table Text"/>
    <w:basedOn w:val="1"/>
    <w:autoRedefine/>
    <w:semiHidden/>
    <w:qFormat/>
    <w:uiPriority w:val="0"/>
    <w:rPr>
      <w:rFonts w:ascii="宋体" w:hAnsi="宋体" w:eastAsia="宋体" w:cs="宋体"/>
      <w:sz w:val="20"/>
      <w:szCs w:val="20"/>
      <w:lang w:val="en-US" w:eastAsia="en-US" w:bidi="ar-SA"/>
    </w:rPr>
  </w:style>
  <w:style w:type="paragraph" w:customStyle="1" w:styleId="43">
    <w:name w:val="Other|1"/>
    <w:basedOn w:val="1"/>
    <w:qFormat/>
    <w:uiPriority w:val="0"/>
    <w:pPr>
      <w:widowControl w:val="0"/>
      <w:shd w:val="clear" w:color="auto" w:fill="auto"/>
    </w:pPr>
    <w:rPr>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emf"/><Relationship Id="rId24" Type="http://schemas.openxmlformats.org/officeDocument/2006/relationships/oleObject" Target="embeddings/oleObject1.bin"/><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2424</Words>
  <Characters>3035</Characters>
  <Lines>0</Lines>
  <Paragraphs>0</Paragraphs>
  <TotalTime>1</TotalTime>
  <ScaleCrop>false</ScaleCrop>
  <LinksUpToDate>false</LinksUpToDate>
  <CharactersWithSpaces>3741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2025-06-23T00:59:00Z</dcterms:created>
  <dc:creator>jjjyyy</dc:creator>
  <cp:lastModifiedBy>jjjyyy</cp:lastModifiedBy>
  <dcterms:modified xsi:type="dcterms:W3CDTF">2025-07-28T01:55:50Z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9F1D4FE7A16B467791E9BF94E5A35E60_11</vt:lpwstr>
  </property>
  <property fmtid="{D5CDD505-2E9C-101B-9397-08002B2CF9AE}" pid="4" name="KSOTemplateDocerSaveRecord">
    <vt:lpwstr>eyJoZGlkIjoiN2YzNjBkOTgyNWQ1YTMxYzM3MzMwNWFiODNmOWIzYWMiLCJ1c2VySWQiOiI0NjkzNzE2MTYifQ==</vt:lpwstr>
  </property>
</Properties>
</file>